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F90" w:rsidRPr="00BC1B34" w:rsidRDefault="00423442" w:rsidP="009549EF">
      <w:pPr>
        <w:pStyle w:val="Title"/>
        <w:sectPr w:rsidR="00D75F90" w:rsidRPr="00BC1B34" w:rsidSect="00D75F90">
          <w:footerReference w:type="default" r:id="rId7"/>
          <w:headerReference w:type="first" r:id="rId8"/>
          <w:footerReference w:type="first" r:id="rId9"/>
          <w:endnotePr>
            <w:numFmt w:val="decimal"/>
          </w:endnotePr>
          <w:pgSz w:w="11907" w:h="16839" w:code="9"/>
          <w:pgMar w:top="1440" w:right="873" w:bottom="1440" w:left="873" w:header="720" w:footer="720" w:gutter="0"/>
          <w:pgNumType w:start="0"/>
          <w:cols w:space="720"/>
          <w:titlePg/>
          <w:docGrid w:linePitch="360"/>
        </w:sectPr>
      </w:pPr>
      <w:bookmarkStart w:id="0" w:name="_Hlk21701075"/>
      <w:bookmarkStart w:id="1" w:name="_Hlk21696716"/>
      <w:bookmarkStart w:id="2" w:name="_GoBack"/>
      <w:bookmarkEnd w:id="2"/>
      <w:r>
        <w:rPr>
          <w:noProof/>
          <w:color w:val="000000"/>
        </w:rPr>
        <w:pict>
          <v:shapetype id="_x0000_t202" coordsize="21600,21600" o:spt="202" path="m,l,21600r21600,l21600,xe">
            <v:stroke joinstyle="miter"/>
            <v:path gradientshapeok="t" o:connecttype="rect"/>
          </v:shapetype>
          <v:shape id="Text Box 2" o:spid="_x0000_s1035" type="#_x0000_t202" style="position:absolute;margin-left:1.85pt;margin-top:96.7pt;width:471.6pt;height:179.2pt;z-index:251660288;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v:textbox style="mso-next-textbox:#Text Box 2;mso-fit-shape-to-text:t">
              <w:txbxContent>
                <w:p w:rsidR="009549EF" w:rsidRPr="009549EF" w:rsidRDefault="009549EF" w:rsidP="009549EF">
                  <w:pPr>
                    <w:rPr>
                      <w:rFonts w:ascii="Arial" w:hAnsi="Arial" w:cs="Arial"/>
                      <w:color w:val="FFFFFF"/>
                      <w:sz w:val="56"/>
                      <w:szCs w:val="56"/>
                    </w:rPr>
                  </w:pPr>
                  <w:r w:rsidRPr="009549EF">
                    <w:rPr>
                      <w:rFonts w:ascii="Arial" w:hAnsi="Arial" w:cs="Arial"/>
                      <w:color w:val="FFFFFF"/>
                      <w:sz w:val="56"/>
                      <w:szCs w:val="56"/>
                    </w:rPr>
                    <w:t xml:space="preserve">Victorian Equal Opportunity </w:t>
                  </w:r>
                  <w:r w:rsidRPr="009549EF">
                    <w:rPr>
                      <w:rFonts w:ascii="Arial" w:hAnsi="Arial" w:cs="Arial"/>
                      <w:color w:val="FFFFFF"/>
                      <w:sz w:val="56"/>
                      <w:szCs w:val="56"/>
                    </w:rPr>
                    <w:br/>
                    <w:t xml:space="preserve">and Human Rights Commission </w:t>
                  </w:r>
                </w:p>
                <w:p w:rsidR="009549EF" w:rsidRPr="009549EF" w:rsidRDefault="009549EF" w:rsidP="009549EF">
                  <w:pPr>
                    <w:rPr>
                      <w:rFonts w:ascii="Arial" w:hAnsi="Arial" w:cs="Arial"/>
                      <w:color w:val="FFFFFF"/>
                      <w:sz w:val="56"/>
                      <w:szCs w:val="56"/>
                    </w:rPr>
                  </w:pPr>
                </w:p>
                <w:p w:rsidR="009549EF" w:rsidRPr="009549EF" w:rsidRDefault="009549EF" w:rsidP="009549EF">
                  <w:pPr>
                    <w:rPr>
                      <w:rFonts w:ascii="Arial" w:hAnsi="Arial" w:cs="Arial"/>
                      <w:color w:val="FFFFFF"/>
                      <w:sz w:val="56"/>
                      <w:szCs w:val="56"/>
                    </w:rPr>
                  </w:pPr>
                  <w:r w:rsidRPr="009549EF">
                    <w:rPr>
                      <w:rFonts w:ascii="Arial" w:hAnsi="Arial" w:cs="Arial"/>
                      <w:color w:val="FFFFFF"/>
                      <w:sz w:val="56"/>
                      <w:szCs w:val="56"/>
                    </w:rPr>
                    <w:t>Annual Report 201</w:t>
                  </w:r>
                  <w:r>
                    <w:rPr>
                      <w:rFonts w:ascii="Arial" w:hAnsi="Arial" w:cs="Arial"/>
                      <w:color w:val="FFFFFF"/>
                      <w:sz w:val="56"/>
                      <w:szCs w:val="56"/>
                    </w:rPr>
                    <w:t>8</w:t>
                  </w:r>
                  <w:r w:rsidRPr="009549EF">
                    <w:rPr>
                      <w:rFonts w:ascii="Arial" w:hAnsi="Arial" w:cs="Arial"/>
                      <w:color w:val="FFFFFF"/>
                      <w:sz w:val="56"/>
                      <w:szCs w:val="56"/>
                    </w:rPr>
                    <w:t>–1</w:t>
                  </w:r>
                  <w:r>
                    <w:rPr>
                      <w:rFonts w:ascii="Arial" w:hAnsi="Arial" w:cs="Arial"/>
                      <w:color w:val="FFFFFF"/>
                      <w:sz w:val="56"/>
                      <w:szCs w:val="56"/>
                    </w:rPr>
                    <w:t>9</w:t>
                  </w:r>
                </w:p>
              </w:txbxContent>
            </v:textbox>
            <w10:wrap type="square"/>
          </v:shape>
        </w:pict>
      </w:r>
      <w:r>
        <w:rPr>
          <w:noProof/>
          <w:color w:val="000000"/>
        </w:rPr>
        <w:pict>
          <v:rect id="Rectangle 6" o:spid="_x0000_s1032" style="position:absolute;margin-left:-8.45pt;margin-top:-1in;width:603pt;height:396pt;z-index:251658239;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" fillcolor="#00a5e6" stroked="f">
            <w10:wrap anchorx="page"/>
          </v:rect>
        </w:pict>
      </w:r>
      <w:r>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0" type="#_x0000_t75" alt="transparent logo" style="position:absolute;margin-left:-1.6pt;margin-top:-44.5pt;width:250.25pt;height:70.6pt;z-index:251659264;visibility:visible">
            <v:imagedata r:id="rId10" o:title=""/>
          </v:shape>
        </w:pict>
      </w:r>
    </w:p>
    <w:p w:rsidR="00FB080C" w:rsidRPr="00FB080C" w:rsidRDefault="00FB080C" w:rsidP="00FB080C">
      <w:pPr>
        <w:pStyle w:val="BodyText"/>
      </w:pPr>
      <w:r w:rsidRPr="00FB080C">
        <w:lastRenderedPageBreak/>
        <w:t>Published by the Victorian Equal Opportunity and Human Rights Commission, Level 3, 204 Lygon Street, Carlton, Victoria 3053. October 2019.</w:t>
      </w:r>
    </w:p>
    <w:p w:rsidR="00FB080C" w:rsidRDefault="00FB080C" w:rsidP="00FB080C">
      <w:pPr>
        <w:pStyle w:val="BodyText"/>
      </w:pPr>
      <w:r w:rsidRPr="00902D12">
        <w:rPr>
          <w:rStyle w:val="Characterbold"/>
          <w:lang w:eastAsia="en-US"/>
        </w:rPr>
        <w:t>Contact us</w:t>
      </w:r>
    </w:p>
    <w:p w:rsidR="00FB080C" w:rsidRDefault="00FB080C" w:rsidP="00FB080C">
      <w:pPr>
        <w:pStyle w:val="BodyText"/>
        <w:spacing w:before="120" w:line="260" w:lineRule="atLeast"/>
      </w:pPr>
      <w:r>
        <w:t xml:space="preserve">Enquiry Line </w:t>
      </w:r>
      <w:r>
        <w:tab/>
      </w:r>
      <w:r>
        <w:tab/>
      </w:r>
      <w:r>
        <w:tab/>
        <w:t>1300 292 153 or (03) 9032 3583</w:t>
      </w:r>
      <w:r>
        <w:br/>
        <w:t>Fax</w:t>
      </w:r>
      <w:r>
        <w:tab/>
      </w:r>
      <w:r>
        <w:tab/>
      </w:r>
      <w:r>
        <w:tab/>
      </w:r>
      <w:r>
        <w:tab/>
        <w:t>1300 891 858</w:t>
      </w:r>
      <w:r>
        <w:br/>
        <w:t>Hearing impaired (TTY)</w:t>
      </w:r>
      <w:r>
        <w:tab/>
        <w:t>1300 289 621</w:t>
      </w:r>
      <w:r>
        <w:br/>
        <w:t>Interpreters</w:t>
      </w:r>
      <w:r>
        <w:tab/>
      </w:r>
      <w:r>
        <w:tab/>
      </w:r>
      <w:r>
        <w:tab/>
        <w:t>1300 152 494</w:t>
      </w:r>
      <w:r>
        <w:br/>
        <w:t>Email</w:t>
      </w:r>
      <w:r>
        <w:tab/>
      </w:r>
      <w:r>
        <w:tab/>
      </w:r>
      <w:r>
        <w:tab/>
      </w:r>
      <w:r>
        <w:tab/>
      </w:r>
      <w:hyperlink r:id="rId11" w:history="1">
        <w:r w:rsidRPr="000B6AEF">
          <w:rPr>
            <w:rStyle w:val="Hyperlink"/>
          </w:rPr>
          <w:t>enquiries@veohrc.vic.gov.au</w:t>
        </w:r>
      </w:hyperlink>
      <w:r>
        <w:br/>
        <w:t>Website</w:t>
      </w:r>
      <w:r>
        <w:tab/>
      </w:r>
      <w:r>
        <w:tab/>
      </w:r>
      <w:r>
        <w:tab/>
      </w:r>
      <w:hyperlink r:id="rId12" w:history="1">
        <w:r w:rsidRPr="00AF44F2">
          <w:rPr>
            <w:rStyle w:val="Hyperlink"/>
          </w:rPr>
          <w:t>humanrightscommission.vic.gov.au</w:t>
        </w:r>
      </w:hyperlink>
    </w:p>
    <w:p w:rsidR="00FB080C" w:rsidRPr="00FB080C" w:rsidRDefault="00FB080C" w:rsidP="00FB080C">
      <w:pPr>
        <w:pStyle w:val="BodyText"/>
        <w:rPr>
          <w:b/>
        </w:rPr>
      </w:pPr>
      <w:r w:rsidRPr="00FB080C">
        <w:rPr>
          <w:b/>
        </w:rPr>
        <w:t>Victorian Equal Opportunity and Human Rights Commission Annual Report 2018–19</w:t>
      </w:r>
    </w:p>
    <w:p w:rsidR="00FB080C" w:rsidRPr="00FB080C" w:rsidRDefault="00FB080C" w:rsidP="00FB080C">
      <w:pPr>
        <w:pStyle w:val="BodyText"/>
      </w:pPr>
      <w:r w:rsidRPr="00FB080C">
        <w:t>Copyright © State of Victoria 2019</w:t>
      </w:r>
    </w:p>
    <w:p w:rsidR="00FB080C" w:rsidRPr="00FB080C" w:rsidRDefault="00FB080C" w:rsidP="00FB080C">
      <w:pPr>
        <w:pStyle w:val="BodyText"/>
      </w:pPr>
      <w:r w:rsidRPr="00FB080C">
        <w:t xml:space="preserve">This publication is copyright. No part of it may be reproduced by any process except with permission from the Victorian Equal Opportunity and Human Rights Commission (the Commission) or in accordance with the </w:t>
      </w:r>
      <w:r w:rsidRPr="00FB080C">
        <w:rPr>
          <w:i/>
          <w:iCs/>
        </w:rPr>
        <w:t>Copyright Act 1968</w:t>
      </w:r>
      <w:r w:rsidRPr="00FB080C">
        <w:t xml:space="preserve">. </w:t>
      </w:r>
    </w:p>
    <w:p w:rsidR="00FB080C" w:rsidRPr="00FB080C" w:rsidRDefault="00FB080C" w:rsidP="00FB080C">
      <w:pPr>
        <w:pStyle w:val="BodyText"/>
      </w:pPr>
      <w:r w:rsidRPr="00FB080C">
        <w:t xml:space="preserve">On request the Commission may give permission for this material to be reproduced provided it is for a purpose consistent with the objectives of the </w:t>
      </w:r>
      <w:r w:rsidRPr="00FB080C">
        <w:rPr>
          <w:i/>
          <w:iCs/>
        </w:rPr>
        <w:t xml:space="preserve">Equal Opportunity Act 2010, the Charter of Human Rights and Responsibilities Act 2006 or the Racial and Religious Tolerance Act 2001 </w:t>
      </w:r>
      <w:r w:rsidRPr="00FB080C">
        <w:t>and the Commission is acknowledged as the source.</w:t>
      </w:r>
    </w:p>
    <w:p w:rsidR="00FB080C" w:rsidRDefault="00FB080C" w:rsidP="00FB080C">
      <w:pPr>
        <w:pStyle w:val="BodyText"/>
        <w:spacing w:before="120" w:line="260" w:lineRule="atLeast"/>
      </w:pPr>
      <w:r>
        <w:t xml:space="preserve">Contact </w:t>
      </w:r>
      <w:hyperlink r:id="rId13" w:history="1">
        <w:r w:rsidRPr="000B6AEF">
          <w:rPr>
            <w:rStyle w:val="Hyperlink"/>
          </w:rPr>
          <w:t>communications@veohrc.vic.gov.au</w:t>
        </w:r>
      </w:hyperlink>
      <w:r>
        <w:t xml:space="preserve"> for permission to reproduce material from the publication.</w:t>
      </w:r>
    </w:p>
    <w:p w:rsidR="00FB080C" w:rsidRPr="00843969" w:rsidRDefault="00FB080C" w:rsidP="00FB080C">
      <w:pPr>
        <w:pStyle w:val="BodyText"/>
        <w:rPr>
          <w:rFonts w:ascii="Graphik Semibold" w:hAnsi="Graphik Semibold" w:cs="Graphik Semibold"/>
          <w:b/>
        </w:rPr>
      </w:pPr>
      <w:r w:rsidRPr="00843969">
        <w:rPr>
          <w:b/>
        </w:rPr>
        <w:t xml:space="preserve">Accessible formats </w:t>
      </w:r>
    </w:p>
    <w:p w:rsidR="00FB080C" w:rsidRPr="00FB080C" w:rsidRDefault="00FB080C" w:rsidP="00FB080C">
      <w:pPr>
        <w:pStyle w:val="BodyText"/>
      </w:pPr>
      <w:r w:rsidRPr="00FB080C">
        <w:t>This document is available for downloading from our website at humanrightscommission.vic.gov.au/resources in PDF and RTF. Please contact the Commission if you require other accessible formats.</w:t>
      </w:r>
    </w:p>
    <w:p w:rsidR="00FB080C" w:rsidRPr="00843969" w:rsidRDefault="00FB080C" w:rsidP="00FB080C">
      <w:pPr>
        <w:pStyle w:val="BodyText"/>
        <w:rPr>
          <w:rFonts w:ascii="Graphik Semibold" w:hAnsi="Graphik Semibold" w:cs="Graphik Semibold"/>
          <w:b/>
        </w:rPr>
      </w:pPr>
      <w:r w:rsidRPr="00843969">
        <w:rPr>
          <w:b/>
        </w:rPr>
        <w:t xml:space="preserve">Privacy </w:t>
      </w:r>
    </w:p>
    <w:p w:rsidR="00FB080C" w:rsidRPr="00FB080C" w:rsidRDefault="00FB080C" w:rsidP="00FB080C">
      <w:pPr>
        <w:pStyle w:val="BodyText"/>
      </w:pPr>
      <w:r w:rsidRPr="00FB080C">
        <w:t>The Commission complies with Victorian privacy laws and the confidentiality provisions of the Equal Opportunity Act. Our privacy policy is available online at humanrightscommission.vic.gov.au/privacy or by contacting us.</w:t>
      </w:r>
    </w:p>
    <w:p w:rsidR="00FB080C" w:rsidRPr="00843969" w:rsidRDefault="00FB080C" w:rsidP="00FB080C">
      <w:pPr>
        <w:pStyle w:val="BodyText"/>
        <w:rPr>
          <w:rFonts w:ascii="Graphik Semibold" w:hAnsi="Graphik Semibold" w:cs="Graphik Semibold"/>
          <w:b/>
        </w:rPr>
      </w:pPr>
      <w:r w:rsidRPr="00843969">
        <w:rPr>
          <w:b/>
        </w:rPr>
        <w:t xml:space="preserve">Disclaimer </w:t>
      </w:r>
    </w:p>
    <w:p w:rsidR="00FB080C" w:rsidRPr="00FB080C" w:rsidRDefault="00FB080C" w:rsidP="00FB080C">
      <w:pPr>
        <w:pStyle w:val="BodyText"/>
      </w:pPr>
      <w:r w:rsidRPr="00FB080C">
        <w:t>This information is intended as a guide only. It is not a substitute for legal advice.</w:t>
      </w:r>
    </w:p>
    <w:p w:rsidR="00FB080C" w:rsidRPr="00FB080C" w:rsidRDefault="00FB080C" w:rsidP="00FB080C">
      <w:pPr>
        <w:pStyle w:val="BodyText"/>
      </w:pPr>
      <w:r w:rsidRPr="00FB080C">
        <w:t xml:space="preserve">The Victorian Equal Opportunity and Human Rights Commission respectfully acknowledges and celebrates the Traditional Owners of the lands throughout Victoria and we pay our respects to their Elders, past and present. </w:t>
      </w:r>
    </w:p>
    <w:p w:rsidR="00FB080C" w:rsidRPr="00FB080C" w:rsidRDefault="00FB080C" w:rsidP="00FB080C">
      <w:pPr>
        <w:pStyle w:val="BodyText"/>
      </w:pPr>
      <w:r w:rsidRPr="00FB080C">
        <w:t xml:space="preserve">This work is licensed under the Creative Commons Attribution 4.0 International License. To view a copy of this license, visit </w:t>
      </w:r>
      <w:r w:rsidRPr="00FB080C">
        <w:rPr>
          <w:rFonts w:ascii="Graphik Medium" w:hAnsi="Graphik Medium" w:cs="Graphik Medium"/>
          <w:u w:val="single"/>
        </w:rPr>
        <w:t>creativecommons.org/licenses/by/4.0/</w:t>
      </w:r>
      <w:r w:rsidRPr="00FB080C">
        <w:t>.</w:t>
      </w:r>
    </w:p>
    <w:p w:rsidR="00D75F90" w:rsidRDefault="00FB080C" w:rsidP="00FB080C">
      <w:pPr>
        <w:pStyle w:val="BodyText"/>
      </w:pPr>
      <w:r w:rsidRPr="00FB080C">
        <w:rPr>
          <w:lang w:eastAsia="en-AU"/>
        </w:rPr>
        <w:t>Ordered to be published.</w:t>
      </w:r>
      <w:r w:rsidR="00C3532D">
        <w:rPr>
          <w:lang w:eastAsia="en-AU"/>
        </w:rPr>
        <w:br/>
      </w:r>
      <w:r w:rsidRPr="00FB080C">
        <w:rPr>
          <w:lang w:eastAsia="en-AU"/>
        </w:rPr>
        <w:t>PP 77, Session 2018–19</w:t>
      </w:r>
      <w:r w:rsidR="00843969">
        <w:rPr>
          <w:lang w:eastAsia="en-AU"/>
        </w:rPr>
        <w:br/>
      </w:r>
      <w:r w:rsidRPr="00FB080C">
        <w:rPr>
          <w:lang w:eastAsia="en-AU"/>
        </w:rPr>
        <w:t>ISSN 1836–1447 (print)</w:t>
      </w:r>
      <w:r>
        <w:t xml:space="preserve"> </w:t>
      </w:r>
      <w:r w:rsidR="00D75F90">
        <w:br w:type="page"/>
      </w:r>
      <w:r w:rsidR="00D75F90" w:rsidRPr="00FB080C">
        <w:rPr>
          <w:rStyle w:val="Heading1Char"/>
          <w:sz w:val="48"/>
        </w:rPr>
        <w:lastRenderedPageBreak/>
        <w:t>Contents</w:t>
      </w:r>
    </w:p>
    <w:p w:rsidR="00FB080C" w:rsidRPr="009549EF" w:rsidRDefault="00D75F90">
      <w:pPr>
        <w:pStyle w:val="TOC1"/>
        <w:rPr>
          <w:rFonts w:ascii="Calibri" w:hAnsi="Calibri"/>
          <w:b w:val="0"/>
          <w:noProof/>
          <w:sz w:val="22"/>
          <w:szCs w:val="22"/>
        </w:rPr>
      </w:pPr>
      <w:r>
        <w:fldChar w:fldCharType="begin"/>
      </w:r>
      <w:r>
        <w:instrText xml:space="preserve"> TOC \o "2-2" \h \z \t "Heading 1,1,Appendix Heading 1,4" </w:instrText>
      </w:r>
      <w:r>
        <w:fldChar w:fldCharType="separate"/>
      </w:r>
      <w:hyperlink w:anchor="_Toc21701394" w:history="1">
        <w:r w:rsidR="00FB080C" w:rsidRPr="00BB3A4C">
          <w:rPr>
            <w:rStyle w:val="Hyperlink"/>
            <w:noProof/>
          </w:rPr>
          <w:t>Responsible body’s declaration</w:t>
        </w:r>
        <w:r w:rsidR="00FB080C">
          <w:rPr>
            <w:noProof/>
            <w:webHidden/>
          </w:rPr>
          <w:tab/>
        </w:r>
        <w:r w:rsidR="00FB080C">
          <w:rPr>
            <w:noProof/>
            <w:webHidden/>
          </w:rPr>
          <w:fldChar w:fldCharType="begin"/>
        </w:r>
        <w:r w:rsidR="00FB080C">
          <w:rPr>
            <w:noProof/>
            <w:webHidden/>
          </w:rPr>
          <w:instrText xml:space="preserve"> PAGEREF _Toc21701394 \h </w:instrText>
        </w:r>
        <w:r w:rsidR="00FB080C">
          <w:rPr>
            <w:noProof/>
            <w:webHidden/>
          </w:rPr>
        </w:r>
        <w:r w:rsidR="00FB080C">
          <w:rPr>
            <w:noProof/>
            <w:webHidden/>
          </w:rPr>
          <w:fldChar w:fldCharType="separate"/>
        </w:r>
        <w:r w:rsidR="00FB080C">
          <w:rPr>
            <w:noProof/>
            <w:webHidden/>
          </w:rPr>
          <w:t>3</w:t>
        </w:r>
        <w:r w:rsidR="00FB080C">
          <w:rPr>
            <w:noProof/>
            <w:webHidden/>
          </w:rPr>
          <w:fldChar w:fldCharType="end"/>
        </w:r>
      </w:hyperlink>
    </w:p>
    <w:p w:rsidR="00FB080C" w:rsidRPr="009549EF" w:rsidRDefault="00423442">
      <w:pPr>
        <w:pStyle w:val="TOC1"/>
        <w:rPr>
          <w:rFonts w:ascii="Calibri" w:hAnsi="Calibri"/>
          <w:b w:val="0"/>
          <w:noProof/>
          <w:sz w:val="22"/>
          <w:szCs w:val="22"/>
        </w:rPr>
      </w:pPr>
      <w:hyperlink w:anchor="_Toc21701395" w:history="1">
        <w:r w:rsidR="00FB080C" w:rsidRPr="00BB3A4C">
          <w:rPr>
            <w:rStyle w:val="Hyperlink"/>
            <w:noProof/>
          </w:rPr>
          <w:t>Introduction</w:t>
        </w:r>
        <w:r w:rsidR="00FB080C">
          <w:rPr>
            <w:noProof/>
            <w:webHidden/>
          </w:rPr>
          <w:tab/>
        </w:r>
        <w:r w:rsidR="00FB080C">
          <w:rPr>
            <w:noProof/>
            <w:webHidden/>
          </w:rPr>
          <w:fldChar w:fldCharType="begin"/>
        </w:r>
        <w:r w:rsidR="00FB080C">
          <w:rPr>
            <w:noProof/>
            <w:webHidden/>
          </w:rPr>
          <w:instrText xml:space="preserve"> PAGEREF _Toc21701395 \h </w:instrText>
        </w:r>
        <w:r w:rsidR="00FB080C">
          <w:rPr>
            <w:noProof/>
            <w:webHidden/>
          </w:rPr>
        </w:r>
        <w:r w:rsidR="00FB080C">
          <w:rPr>
            <w:noProof/>
            <w:webHidden/>
          </w:rPr>
          <w:fldChar w:fldCharType="separate"/>
        </w:r>
        <w:r w:rsidR="00FB080C">
          <w:rPr>
            <w:noProof/>
            <w:webHidden/>
          </w:rPr>
          <w:t>4</w:t>
        </w:r>
        <w:r w:rsidR="00FB080C">
          <w:rPr>
            <w:noProof/>
            <w:webHidden/>
          </w:rPr>
          <w:fldChar w:fldCharType="end"/>
        </w:r>
      </w:hyperlink>
    </w:p>
    <w:p w:rsidR="00FB080C" w:rsidRPr="009549EF" w:rsidRDefault="00423442">
      <w:pPr>
        <w:pStyle w:val="TOC1"/>
        <w:rPr>
          <w:rFonts w:ascii="Calibri" w:hAnsi="Calibri"/>
          <w:b w:val="0"/>
          <w:noProof/>
          <w:sz w:val="22"/>
          <w:szCs w:val="22"/>
        </w:rPr>
      </w:pPr>
      <w:hyperlink w:anchor="_Toc21701396" w:history="1">
        <w:r w:rsidR="00FB080C" w:rsidRPr="00BB3A4C">
          <w:rPr>
            <w:rStyle w:val="Hyperlink"/>
            <w:noProof/>
          </w:rPr>
          <w:t>About the Commission</w:t>
        </w:r>
        <w:r w:rsidR="00FB080C">
          <w:rPr>
            <w:noProof/>
            <w:webHidden/>
          </w:rPr>
          <w:tab/>
        </w:r>
        <w:r w:rsidR="00FB080C">
          <w:rPr>
            <w:noProof/>
            <w:webHidden/>
          </w:rPr>
          <w:fldChar w:fldCharType="begin"/>
        </w:r>
        <w:r w:rsidR="00FB080C">
          <w:rPr>
            <w:noProof/>
            <w:webHidden/>
          </w:rPr>
          <w:instrText xml:space="preserve"> PAGEREF _Toc21701396 \h </w:instrText>
        </w:r>
        <w:r w:rsidR="00FB080C">
          <w:rPr>
            <w:noProof/>
            <w:webHidden/>
          </w:rPr>
        </w:r>
        <w:r w:rsidR="00FB080C">
          <w:rPr>
            <w:noProof/>
            <w:webHidden/>
          </w:rPr>
          <w:fldChar w:fldCharType="separate"/>
        </w:r>
        <w:r w:rsidR="00FB080C">
          <w:rPr>
            <w:noProof/>
            <w:webHidden/>
          </w:rPr>
          <w:t>7</w:t>
        </w:r>
        <w:r w:rsidR="00FB080C">
          <w:rPr>
            <w:noProof/>
            <w:webHidden/>
          </w:rPr>
          <w:fldChar w:fldCharType="end"/>
        </w:r>
      </w:hyperlink>
    </w:p>
    <w:p w:rsidR="00FB080C" w:rsidRPr="009549EF" w:rsidRDefault="00423442">
      <w:pPr>
        <w:pStyle w:val="TOC2"/>
        <w:rPr>
          <w:rFonts w:ascii="Calibri" w:hAnsi="Calibri"/>
          <w:noProof/>
          <w:sz w:val="22"/>
          <w:szCs w:val="22"/>
        </w:rPr>
      </w:pPr>
      <w:hyperlink w:anchor="_Toc21701397" w:history="1">
        <w:r w:rsidR="00FB080C" w:rsidRPr="00BB3A4C">
          <w:rPr>
            <w:rStyle w:val="Hyperlink"/>
            <w:noProof/>
          </w:rPr>
          <w:t>Strategic plan</w:t>
        </w:r>
        <w:r w:rsidR="00FB080C">
          <w:rPr>
            <w:noProof/>
            <w:webHidden/>
          </w:rPr>
          <w:tab/>
        </w:r>
        <w:r w:rsidR="00FB080C">
          <w:rPr>
            <w:noProof/>
            <w:webHidden/>
          </w:rPr>
          <w:fldChar w:fldCharType="begin"/>
        </w:r>
        <w:r w:rsidR="00FB080C">
          <w:rPr>
            <w:noProof/>
            <w:webHidden/>
          </w:rPr>
          <w:instrText xml:space="preserve"> PAGEREF _Toc21701397 \h </w:instrText>
        </w:r>
        <w:r w:rsidR="00FB080C">
          <w:rPr>
            <w:noProof/>
            <w:webHidden/>
          </w:rPr>
        </w:r>
        <w:r w:rsidR="00FB080C">
          <w:rPr>
            <w:noProof/>
            <w:webHidden/>
          </w:rPr>
          <w:fldChar w:fldCharType="separate"/>
        </w:r>
        <w:r w:rsidR="00FB080C">
          <w:rPr>
            <w:noProof/>
            <w:webHidden/>
          </w:rPr>
          <w:t>7</w:t>
        </w:r>
        <w:r w:rsidR="00FB080C">
          <w:rPr>
            <w:noProof/>
            <w:webHidden/>
          </w:rPr>
          <w:fldChar w:fldCharType="end"/>
        </w:r>
      </w:hyperlink>
    </w:p>
    <w:p w:rsidR="00FB080C" w:rsidRPr="009549EF" w:rsidRDefault="00423442">
      <w:pPr>
        <w:pStyle w:val="TOC2"/>
        <w:rPr>
          <w:rFonts w:ascii="Calibri" w:hAnsi="Calibri"/>
          <w:noProof/>
          <w:sz w:val="22"/>
          <w:szCs w:val="22"/>
        </w:rPr>
      </w:pPr>
      <w:hyperlink w:anchor="_Toc21701398" w:history="1">
        <w:r w:rsidR="00FB080C" w:rsidRPr="00BB3A4C">
          <w:rPr>
            <w:rStyle w:val="Hyperlink"/>
            <w:noProof/>
          </w:rPr>
          <w:t>Organisational structure</w:t>
        </w:r>
        <w:r w:rsidR="00FB080C">
          <w:rPr>
            <w:noProof/>
            <w:webHidden/>
          </w:rPr>
          <w:tab/>
        </w:r>
        <w:r w:rsidR="00FB080C">
          <w:rPr>
            <w:noProof/>
            <w:webHidden/>
          </w:rPr>
          <w:fldChar w:fldCharType="begin"/>
        </w:r>
        <w:r w:rsidR="00FB080C">
          <w:rPr>
            <w:noProof/>
            <w:webHidden/>
          </w:rPr>
          <w:instrText xml:space="preserve"> PAGEREF _Toc21701398 \h </w:instrText>
        </w:r>
        <w:r w:rsidR="00FB080C">
          <w:rPr>
            <w:noProof/>
            <w:webHidden/>
          </w:rPr>
        </w:r>
        <w:r w:rsidR="00FB080C">
          <w:rPr>
            <w:noProof/>
            <w:webHidden/>
          </w:rPr>
          <w:fldChar w:fldCharType="separate"/>
        </w:r>
        <w:r w:rsidR="00FB080C">
          <w:rPr>
            <w:noProof/>
            <w:webHidden/>
          </w:rPr>
          <w:t>8</w:t>
        </w:r>
        <w:r w:rsidR="00FB080C">
          <w:rPr>
            <w:noProof/>
            <w:webHidden/>
          </w:rPr>
          <w:fldChar w:fldCharType="end"/>
        </w:r>
      </w:hyperlink>
    </w:p>
    <w:p w:rsidR="00FB080C" w:rsidRPr="009549EF" w:rsidRDefault="00423442">
      <w:pPr>
        <w:pStyle w:val="TOC1"/>
        <w:rPr>
          <w:rFonts w:ascii="Calibri" w:hAnsi="Calibri"/>
          <w:b w:val="0"/>
          <w:noProof/>
          <w:sz w:val="22"/>
          <w:szCs w:val="22"/>
        </w:rPr>
      </w:pPr>
      <w:hyperlink w:anchor="_Toc21701399" w:history="1">
        <w:r w:rsidR="00FB080C" w:rsidRPr="00BB3A4C">
          <w:rPr>
            <w:rStyle w:val="Hyperlink"/>
            <w:noProof/>
          </w:rPr>
          <w:t>2018–19 in review</w:t>
        </w:r>
        <w:r w:rsidR="00FB080C">
          <w:rPr>
            <w:noProof/>
            <w:webHidden/>
          </w:rPr>
          <w:tab/>
        </w:r>
        <w:r w:rsidR="00FB080C">
          <w:rPr>
            <w:noProof/>
            <w:webHidden/>
          </w:rPr>
          <w:fldChar w:fldCharType="begin"/>
        </w:r>
        <w:r w:rsidR="00FB080C">
          <w:rPr>
            <w:noProof/>
            <w:webHidden/>
          </w:rPr>
          <w:instrText xml:space="preserve"> PAGEREF _Toc21701399 \h </w:instrText>
        </w:r>
        <w:r w:rsidR="00FB080C">
          <w:rPr>
            <w:noProof/>
            <w:webHidden/>
          </w:rPr>
        </w:r>
        <w:r w:rsidR="00FB080C">
          <w:rPr>
            <w:noProof/>
            <w:webHidden/>
          </w:rPr>
          <w:fldChar w:fldCharType="separate"/>
        </w:r>
        <w:r w:rsidR="00FB080C">
          <w:rPr>
            <w:noProof/>
            <w:webHidden/>
          </w:rPr>
          <w:t>9</w:t>
        </w:r>
        <w:r w:rsidR="00FB080C">
          <w:rPr>
            <w:noProof/>
            <w:webHidden/>
          </w:rPr>
          <w:fldChar w:fldCharType="end"/>
        </w:r>
      </w:hyperlink>
    </w:p>
    <w:p w:rsidR="00FB080C" w:rsidRPr="009549EF" w:rsidRDefault="00423442">
      <w:pPr>
        <w:pStyle w:val="TOC2"/>
        <w:rPr>
          <w:rFonts w:ascii="Calibri" w:hAnsi="Calibri"/>
          <w:noProof/>
          <w:sz w:val="22"/>
          <w:szCs w:val="22"/>
        </w:rPr>
      </w:pPr>
      <w:hyperlink w:anchor="_Toc21701400" w:history="1">
        <w:r w:rsidR="00FB080C" w:rsidRPr="00BB3A4C">
          <w:rPr>
            <w:rStyle w:val="Hyperlink"/>
            <w:noProof/>
          </w:rPr>
          <w:t>Resolve complaints</w:t>
        </w:r>
        <w:r w:rsidR="00FB080C">
          <w:rPr>
            <w:noProof/>
            <w:webHidden/>
          </w:rPr>
          <w:tab/>
        </w:r>
        <w:r w:rsidR="00FB080C">
          <w:rPr>
            <w:noProof/>
            <w:webHidden/>
          </w:rPr>
          <w:fldChar w:fldCharType="begin"/>
        </w:r>
        <w:r w:rsidR="00FB080C">
          <w:rPr>
            <w:noProof/>
            <w:webHidden/>
          </w:rPr>
          <w:instrText xml:space="preserve"> PAGEREF _Toc21701400 \h </w:instrText>
        </w:r>
        <w:r w:rsidR="00FB080C">
          <w:rPr>
            <w:noProof/>
            <w:webHidden/>
          </w:rPr>
        </w:r>
        <w:r w:rsidR="00FB080C">
          <w:rPr>
            <w:noProof/>
            <w:webHidden/>
          </w:rPr>
          <w:fldChar w:fldCharType="separate"/>
        </w:r>
        <w:r w:rsidR="00FB080C">
          <w:rPr>
            <w:noProof/>
            <w:webHidden/>
          </w:rPr>
          <w:t>10</w:t>
        </w:r>
        <w:r w:rsidR="00FB080C">
          <w:rPr>
            <w:noProof/>
            <w:webHidden/>
          </w:rPr>
          <w:fldChar w:fldCharType="end"/>
        </w:r>
      </w:hyperlink>
    </w:p>
    <w:p w:rsidR="00FB080C" w:rsidRPr="009549EF" w:rsidRDefault="00423442">
      <w:pPr>
        <w:pStyle w:val="TOC2"/>
        <w:rPr>
          <w:rFonts w:ascii="Calibri" w:hAnsi="Calibri"/>
          <w:noProof/>
          <w:sz w:val="22"/>
          <w:szCs w:val="22"/>
        </w:rPr>
      </w:pPr>
      <w:hyperlink w:anchor="_Toc21701401" w:history="1">
        <w:r w:rsidR="00FB080C" w:rsidRPr="00BB3A4C">
          <w:rPr>
            <w:rStyle w:val="Hyperlink"/>
            <w:noProof/>
          </w:rPr>
          <w:t>Research</w:t>
        </w:r>
        <w:r w:rsidR="00FB080C">
          <w:rPr>
            <w:noProof/>
            <w:webHidden/>
          </w:rPr>
          <w:tab/>
        </w:r>
        <w:r w:rsidR="00FB080C">
          <w:rPr>
            <w:noProof/>
            <w:webHidden/>
          </w:rPr>
          <w:fldChar w:fldCharType="begin"/>
        </w:r>
        <w:r w:rsidR="00FB080C">
          <w:rPr>
            <w:noProof/>
            <w:webHidden/>
          </w:rPr>
          <w:instrText xml:space="preserve"> PAGEREF _Toc21701401 \h </w:instrText>
        </w:r>
        <w:r w:rsidR="00FB080C">
          <w:rPr>
            <w:noProof/>
            <w:webHidden/>
          </w:rPr>
        </w:r>
        <w:r w:rsidR="00FB080C">
          <w:rPr>
            <w:noProof/>
            <w:webHidden/>
          </w:rPr>
          <w:fldChar w:fldCharType="separate"/>
        </w:r>
        <w:r w:rsidR="00FB080C">
          <w:rPr>
            <w:noProof/>
            <w:webHidden/>
          </w:rPr>
          <w:t>14</w:t>
        </w:r>
        <w:r w:rsidR="00FB080C">
          <w:rPr>
            <w:noProof/>
            <w:webHidden/>
          </w:rPr>
          <w:fldChar w:fldCharType="end"/>
        </w:r>
      </w:hyperlink>
    </w:p>
    <w:p w:rsidR="00FB080C" w:rsidRPr="009549EF" w:rsidRDefault="00423442">
      <w:pPr>
        <w:pStyle w:val="TOC2"/>
        <w:rPr>
          <w:rFonts w:ascii="Calibri" w:hAnsi="Calibri"/>
          <w:noProof/>
          <w:sz w:val="22"/>
          <w:szCs w:val="22"/>
        </w:rPr>
      </w:pPr>
      <w:hyperlink w:anchor="_Toc21701402" w:history="1">
        <w:r w:rsidR="00FB080C" w:rsidRPr="00BB3A4C">
          <w:rPr>
            <w:rStyle w:val="Hyperlink"/>
            <w:noProof/>
          </w:rPr>
          <w:t>Educate</w:t>
        </w:r>
        <w:r w:rsidR="00FB080C">
          <w:rPr>
            <w:noProof/>
            <w:webHidden/>
          </w:rPr>
          <w:tab/>
        </w:r>
        <w:r w:rsidR="00FB080C">
          <w:rPr>
            <w:noProof/>
            <w:webHidden/>
          </w:rPr>
          <w:fldChar w:fldCharType="begin"/>
        </w:r>
        <w:r w:rsidR="00FB080C">
          <w:rPr>
            <w:noProof/>
            <w:webHidden/>
          </w:rPr>
          <w:instrText xml:space="preserve"> PAGEREF _Toc21701402 \h </w:instrText>
        </w:r>
        <w:r w:rsidR="00FB080C">
          <w:rPr>
            <w:noProof/>
            <w:webHidden/>
          </w:rPr>
        </w:r>
        <w:r w:rsidR="00FB080C">
          <w:rPr>
            <w:noProof/>
            <w:webHidden/>
          </w:rPr>
          <w:fldChar w:fldCharType="separate"/>
        </w:r>
        <w:r w:rsidR="00FB080C">
          <w:rPr>
            <w:noProof/>
            <w:webHidden/>
          </w:rPr>
          <w:t>17</w:t>
        </w:r>
        <w:r w:rsidR="00FB080C">
          <w:rPr>
            <w:noProof/>
            <w:webHidden/>
          </w:rPr>
          <w:fldChar w:fldCharType="end"/>
        </w:r>
      </w:hyperlink>
    </w:p>
    <w:p w:rsidR="00FB080C" w:rsidRPr="009549EF" w:rsidRDefault="00423442">
      <w:pPr>
        <w:pStyle w:val="TOC2"/>
        <w:rPr>
          <w:rFonts w:ascii="Calibri" w:hAnsi="Calibri"/>
          <w:noProof/>
          <w:sz w:val="22"/>
          <w:szCs w:val="22"/>
        </w:rPr>
      </w:pPr>
      <w:hyperlink w:anchor="_Toc21701403" w:history="1">
        <w:r w:rsidR="00FB080C" w:rsidRPr="00BB3A4C">
          <w:rPr>
            <w:rStyle w:val="Hyperlink"/>
            <w:noProof/>
          </w:rPr>
          <w:t>Advocate</w:t>
        </w:r>
        <w:r w:rsidR="00FB080C">
          <w:rPr>
            <w:noProof/>
            <w:webHidden/>
          </w:rPr>
          <w:tab/>
        </w:r>
        <w:r w:rsidR="00FB080C">
          <w:rPr>
            <w:noProof/>
            <w:webHidden/>
          </w:rPr>
          <w:fldChar w:fldCharType="begin"/>
        </w:r>
        <w:r w:rsidR="00FB080C">
          <w:rPr>
            <w:noProof/>
            <w:webHidden/>
          </w:rPr>
          <w:instrText xml:space="preserve"> PAGEREF _Toc21701403 \h </w:instrText>
        </w:r>
        <w:r w:rsidR="00FB080C">
          <w:rPr>
            <w:noProof/>
            <w:webHidden/>
          </w:rPr>
        </w:r>
        <w:r w:rsidR="00FB080C">
          <w:rPr>
            <w:noProof/>
            <w:webHidden/>
          </w:rPr>
          <w:fldChar w:fldCharType="separate"/>
        </w:r>
        <w:r w:rsidR="00FB080C">
          <w:rPr>
            <w:noProof/>
            <w:webHidden/>
          </w:rPr>
          <w:t>27</w:t>
        </w:r>
        <w:r w:rsidR="00FB080C">
          <w:rPr>
            <w:noProof/>
            <w:webHidden/>
          </w:rPr>
          <w:fldChar w:fldCharType="end"/>
        </w:r>
      </w:hyperlink>
    </w:p>
    <w:p w:rsidR="00FB080C" w:rsidRPr="009549EF" w:rsidRDefault="00423442">
      <w:pPr>
        <w:pStyle w:val="TOC2"/>
        <w:rPr>
          <w:rFonts w:ascii="Calibri" w:hAnsi="Calibri"/>
          <w:noProof/>
          <w:sz w:val="22"/>
          <w:szCs w:val="22"/>
        </w:rPr>
      </w:pPr>
      <w:hyperlink w:anchor="_Toc21701404" w:history="1">
        <w:r w:rsidR="00FB080C" w:rsidRPr="00BB3A4C">
          <w:rPr>
            <w:rStyle w:val="Hyperlink"/>
            <w:noProof/>
          </w:rPr>
          <w:t>Monitor</w:t>
        </w:r>
        <w:r w:rsidR="00FB080C">
          <w:rPr>
            <w:noProof/>
            <w:webHidden/>
          </w:rPr>
          <w:tab/>
        </w:r>
        <w:r w:rsidR="00FB080C">
          <w:rPr>
            <w:noProof/>
            <w:webHidden/>
          </w:rPr>
          <w:fldChar w:fldCharType="begin"/>
        </w:r>
        <w:r w:rsidR="00FB080C">
          <w:rPr>
            <w:noProof/>
            <w:webHidden/>
          </w:rPr>
          <w:instrText xml:space="preserve"> PAGEREF _Toc21701404 \h </w:instrText>
        </w:r>
        <w:r w:rsidR="00FB080C">
          <w:rPr>
            <w:noProof/>
            <w:webHidden/>
          </w:rPr>
        </w:r>
        <w:r w:rsidR="00FB080C">
          <w:rPr>
            <w:noProof/>
            <w:webHidden/>
          </w:rPr>
          <w:fldChar w:fldCharType="separate"/>
        </w:r>
        <w:r w:rsidR="00FB080C">
          <w:rPr>
            <w:noProof/>
            <w:webHidden/>
          </w:rPr>
          <w:t>34</w:t>
        </w:r>
        <w:r w:rsidR="00FB080C">
          <w:rPr>
            <w:noProof/>
            <w:webHidden/>
          </w:rPr>
          <w:fldChar w:fldCharType="end"/>
        </w:r>
      </w:hyperlink>
    </w:p>
    <w:p w:rsidR="00FB080C" w:rsidRPr="009549EF" w:rsidRDefault="00423442">
      <w:pPr>
        <w:pStyle w:val="TOC2"/>
        <w:rPr>
          <w:rFonts w:ascii="Calibri" w:hAnsi="Calibri"/>
          <w:noProof/>
          <w:sz w:val="22"/>
          <w:szCs w:val="22"/>
        </w:rPr>
      </w:pPr>
      <w:hyperlink w:anchor="_Toc21701405" w:history="1">
        <w:r w:rsidR="00FB080C" w:rsidRPr="00BB3A4C">
          <w:rPr>
            <w:rStyle w:val="Hyperlink"/>
            <w:noProof/>
          </w:rPr>
          <w:t>Enforce</w:t>
        </w:r>
        <w:r w:rsidR="00FB080C">
          <w:rPr>
            <w:noProof/>
            <w:webHidden/>
          </w:rPr>
          <w:tab/>
        </w:r>
        <w:r w:rsidR="00FB080C">
          <w:rPr>
            <w:noProof/>
            <w:webHidden/>
          </w:rPr>
          <w:fldChar w:fldCharType="begin"/>
        </w:r>
        <w:r w:rsidR="00FB080C">
          <w:rPr>
            <w:noProof/>
            <w:webHidden/>
          </w:rPr>
          <w:instrText xml:space="preserve"> PAGEREF _Toc21701405 \h </w:instrText>
        </w:r>
        <w:r w:rsidR="00FB080C">
          <w:rPr>
            <w:noProof/>
            <w:webHidden/>
          </w:rPr>
        </w:r>
        <w:r w:rsidR="00FB080C">
          <w:rPr>
            <w:noProof/>
            <w:webHidden/>
          </w:rPr>
          <w:fldChar w:fldCharType="separate"/>
        </w:r>
        <w:r w:rsidR="00FB080C">
          <w:rPr>
            <w:noProof/>
            <w:webHidden/>
          </w:rPr>
          <w:t>35</w:t>
        </w:r>
        <w:r w:rsidR="00FB080C">
          <w:rPr>
            <w:noProof/>
            <w:webHidden/>
          </w:rPr>
          <w:fldChar w:fldCharType="end"/>
        </w:r>
      </w:hyperlink>
    </w:p>
    <w:p w:rsidR="00FB080C" w:rsidRPr="009549EF" w:rsidRDefault="00423442">
      <w:pPr>
        <w:pStyle w:val="TOC2"/>
        <w:rPr>
          <w:rFonts w:ascii="Calibri" w:hAnsi="Calibri"/>
          <w:noProof/>
          <w:sz w:val="22"/>
          <w:szCs w:val="22"/>
        </w:rPr>
      </w:pPr>
      <w:hyperlink w:anchor="_Toc21701406" w:history="1">
        <w:r w:rsidR="00FB080C" w:rsidRPr="00BB3A4C">
          <w:rPr>
            <w:rStyle w:val="Hyperlink"/>
            <w:noProof/>
          </w:rPr>
          <w:t>Building a strong organisation</w:t>
        </w:r>
        <w:r w:rsidR="00FB080C">
          <w:rPr>
            <w:noProof/>
            <w:webHidden/>
          </w:rPr>
          <w:tab/>
        </w:r>
        <w:r w:rsidR="00FB080C">
          <w:rPr>
            <w:noProof/>
            <w:webHidden/>
          </w:rPr>
          <w:fldChar w:fldCharType="begin"/>
        </w:r>
        <w:r w:rsidR="00FB080C">
          <w:rPr>
            <w:noProof/>
            <w:webHidden/>
          </w:rPr>
          <w:instrText xml:space="preserve"> PAGEREF _Toc21701406 \h </w:instrText>
        </w:r>
        <w:r w:rsidR="00FB080C">
          <w:rPr>
            <w:noProof/>
            <w:webHidden/>
          </w:rPr>
        </w:r>
        <w:r w:rsidR="00FB080C">
          <w:rPr>
            <w:noProof/>
            <w:webHidden/>
          </w:rPr>
          <w:fldChar w:fldCharType="separate"/>
        </w:r>
        <w:r w:rsidR="00FB080C">
          <w:rPr>
            <w:noProof/>
            <w:webHidden/>
          </w:rPr>
          <w:t>39</w:t>
        </w:r>
        <w:r w:rsidR="00FB080C">
          <w:rPr>
            <w:noProof/>
            <w:webHidden/>
          </w:rPr>
          <w:fldChar w:fldCharType="end"/>
        </w:r>
      </w:hyperlink>
    </w:p>
    <w:p w:rsidR="00FB080C" w:rsidRPr="009549EF" w:rsidRDefault="00423442">
      <w:pPr>
        <w:pStyle w:val="TOC1"/>
        <w:rPr>
          <w:rFonts w:ascii="Calibri" w:hAnsi="Calibri"/>
          <w:b w:val="0"/>
          <w:noProof/>
          <w:sz w:val="22"/>
          <w:szCs w:val="22"/>
        </w:rPr>
      </w:pPr>
      <w:hyperlink w:anchor="_Toc21701407" w:history="1">
        <w:r w:rsidR="00FB080C" w:rsidRPr="00BB3A4C">
          <w:rPr>
            <w:rStyle w:val="Hyperlink"/>
            <w:noProof/>
          </w:rPr>
          <w:t>Compliance reporting</w:t>
        </w:r>
        <w:r w:rsidR="00FB080C">
          <w:rPr>
            <w:noProof/>
            <w:webHidden/>
          </w:rPr>
          <w:tab/>
        </w:r>
        <w:r w:rsidR="00FB080C">
          <w:rPr>
            <w:noProof/>
            <w:webHidden/>
          </w:rPr>
          <w:fldChar w:fldCharType="begin"/>
        </w:r>
        <w:r w:rsidR="00FB080C">
          <w:rPr>
            <w:noProof/>
            <w:webHidden/>
          </w:rPr>
          <w:instrText xml:space="preserve"> PAGEREF _Toc21701407 \h </w:instrText>
        </w:r>
        <w:r w:rsidR="00FB080C">
          <w:rPr>
            <w:noProof/>
            <w:webHidden/>
          </w:rPr>
        </w:r>
        <w:r w:rsidR="00FB080C">
          <w:rPr>
            <w:noProof/>
            <w:webHidden/>
          </w:rPr>
          <w:fldChar w:fldCharType="separate"/>
        </w:r>
        <w:r w:rsidR="00FB080C">
          <w:rPr>
            <w:noProof/>
            <w:webHidden/>
          </w:rPr>
          <w:t>43</w:t>
        </w:r>
        <w:r w:rsidR="00FB080C">
          <w:rPr>
            <w:noProof/>
            <w:webHidden/>
          </w:rPr>
          <w:fldChar w:fldCharType="end"/>
        </w:r>
      </w:hyperlink>
    </w:p>
    <w:p w:rsidR="00FB080C" w:rsidRPr="009549EF" w:rsidRDefault="00423442">
      <w:pPr>
        <w:pStyle w:val="TOC2"/>
        <w:rPr>
          <w:rFonts w:ascii="Calibri" w:hAnsi="Calibri"/>
          <w:noProof/>
          <w:sz w:val="22"/>
          <w:szCs w:val="22"/>
        </w:rPr>
      </w:pPr>
      <w:hyperlink w:anchor="_Toc21701408" w:history="1">
        <w:r w:rsidR="00FB080C" w:rsidRPr="00BB3A4C">
          <w:rPr>
            <w:rStyle w:val="Hyperlink"/>
            <w:noProof/>
          </w:rPr>
          <w:t>Five year financial performance</w:t>
        </w:r>
        <w:r w:rsidR="00FB080C">
          <w:rPr>
            <w:noProof/>
            <w:webHidden/>
          </w:rPr>
          <w:tab/>
        </w:r>
        <w:r w:rsidR="00FB080C">
          <w:rPr>
            <w:noProof/>
            <w:webHidden/>
          </w:rPr>
          <w:fldChar w:fldCharType="begin"/>
        </w:r>
        <w:r w:rsidR="00FB080C">
          <w:rPr>
            <w:noProof/>
            <w:webHidden/>
          </w:rPr>
          <w:instrText xml:space="preserve"> PAGEREF _Toc21701408 \h </w:instrText>
        </w:r>
        <w:r w:rsidR="00FB080C">
          <w:rPr>
            <w:noProof/>
            <w:webHidden/>
          </w:rPr>
        </w:r>
        <w:r w:rsidR="00FB080C">
          <w:rPr>
            <w:noProof/>
            <w:webHidden/>
          </w:rPr>
          <w:fldChar w:fldCharType="separate"/>
        </w:r>
        <w:r w:rsidR="00FB080C">
          <w:rPr>
            <w:noProof/>
            <w:webHidden/>
          </w:rPr>
          <w:t>46</w:t>
        </w:r>
        <w:r w:rsidR="00FB080C">
          <w:rPr>
            <w:noProof/>
            <w:webHidden/>
          </w:rPr>
          <w:fldChar w:fldCharType="end"/>
        </w:r>
      </w:hyperlink>
    </w:p>
    <w:p w:rsidR="00FB080C" w:rsidRPr="009549EF" w:rsidRDefault="00423442">
      <w:pPr>
        <w:pStyle w:val="TOC2"/>
        <w:rPr>
          <w:rFonts w:ascii="Calibri" w:hAnsi="Calibri"/>
          <w:noProof/>
          <w:sz w:val="22"/>
          <w:szCs w:val="22"/>
        </w:rPr>
      </w:pPr>
      <w:hyperlink w:anchor="_Toc21701409" w:history="1">
        <w:r w:rsidR="00FB080C" w:rsidRPr="00BB3A4C">
          <w:rPr>
            <w:rStyle w:val="Hyperlink"/>
            <w:noProof/>
          </w:rPr>
          <w:t>Consultancy expenditure</w:t>
        </w:r>
        <w:r w:rsidR="00FB080C">
          <w:rPr>
            <w:noProof/>
            <w:webHidden/>
          </w:rPr>
          <w:tab/>
        </w:r>
        <w:r w:rsidR="00FB080C">
          <w:rPr>
            <w:noProof/>
            <w:webHidden/>
          </w:rPr>
          <w:fldChar w:fldCharType="begin"/>
        </w:r>
        <w:r w:rsidR="00FB080C">
          <w:rPr>
            <w:noProof/>
            <w:webHidden/>
          </w:rPr>
          <w:instrText xml:space="preserve"> PAGEREF _Toc21701409 \h </w:instrText>
        </w:r>
        <w:r w:rsidR="00FB080C">
          <w:rPr>
            <w:noProof/>
            <w:webHidden/>
          </w:rPr>
        </w:r>
        <w:r w:rsidR="00FB080C">
          <w:rPr>
            <w:noProof/>
            <w:webHidden/>
          </w:rPr>
          <w:fldChar w:fldCharType="separate"/>
        </w:r>
        <w:r w:rsidR="00FB080C">
          <w:rPr>
            <w:noProof/>
            <w:webHidden/>
          </w:rPr>
          <w:t>51</w:t>
        </w:r>
        <w:r w:rsidR="00FB080C">
          <w:rPr>
            <w:noProof/>
            <w:webHidden/>
          </w:rPr>
          <w:fldChar w:fldCharType="end"/>
        </w:r>
      </w:hyperlink>
    </w:p>
    <w:p w:rsidR="00FB080C" w:rsidRPr="009549EF" w:rsidRDefault="00423442">
      <w:pPr>
        <w:pStyle w:val="TOC1"/>
        <w:rPr>
          <w:rFonts w:ascii="Calibri" w:hAnsi="Calibri"/>
          <w:b w:val="0"/>
          <w:noProof/>
          <w:sz w:val="22"/>
          <w:szCs w:val="22"/>
        </w:rPr>
      </w:pPr>
      <w:hyperlink w:anchor="_Toc21701410" w:history="1">
        <w:r w:rsidR="00FB080C" w:rsidRPr="00BB3A4C">
          <w:rPr>
            <w:rStyle w:val="Hyperlink"/>
            <w:noProof/>
          </w:rPr>
          <w:t>Appendix 1: Complaints and enquiries data</w:t>
        </w:r>
        <w:r w:rsidR="00FB080C">
          <w:rPr>
            <w:noProof/>
            <w:webHidden/>
          </w:rPr>
          <w:tab/>
        </w:r>
        <w:r w:rsidR="00FB080C">
          <w:rPr>
            <w:noProof/>
            <w:webHidden/>
          </w:rPr>
          <w:fldChar w:fldCharType="begin"/>
        </w:r>
        <w:r w:rsidR="00FB080C">
          <w:rPr>
            <w:noProof/>
            <w:webHidden/>
          </w:rPr>
          <w:instrText xml:space="preserve"> PAGEREF _Toc21701410 \h </w:instrText>
        </w:r>
        <w:r w:rsidR="00FB080C">
          <w:rPr>
            <w:noProof/>
            <w:webHidden/>
          </w:rPr>
        </w:r>
        <w:r w:rsidR="00FB080C">
          <w:rPr>
            <w:noProof/>
            <w:webHidden/>
          </w:rPr>
          <w:fldChar w:fldCharType="separate"/>
        </w:r>
        <w:r w:rsidR="00FB080C">
          <w:rPr>
            <w:noProof/>
            <w:webHidden/>
          </w:rPr>
          <w:t>58</w:t>
        </w:r>
        <w:r w:rsidR="00FB080C">
          <w:rPr>
            <w:noProof/>
            <w:webHidden/>
          </w:rPr>
          <w:fldChar w:fldCharType="end"/>
        </w:r>
      </w:hyperlink>
    </w:p>
    <w:p w:rsidR="00D75F90" w:rsidRDefault="00D75F90" w:rsidP="00D75F90">
      <w:r>
        <w:fldChar w:fldCharType="end"/>
      </w:r>
    </w:p>
    <w:p w:rsidR="0024051E" w:rsidRDefault="00FB080C" w:rsidP="00CF3E72">
      <w:pPr>
        <w:pStyle w:val="Heading1"/>
      </w:pPr>
      <w:r>
        <w:br w:type="page"/>
      </w:r>
      <w:bookmarkStart w:id="3" w:name="_Toc21701394"/>
      <w:r w:rsidR="0024051E">
        <w:lastRenderedPageBreak/>
        <w:t>Responsible body’s declaration</w:t>
      </w:r>
      <w:bookmarkEnd w:id="3"/>
    </w:p>
    <w:p w:rsidR="0024051E" w:rsidRDefault="0024051E" w:rsidP="00CF3E72">
      <w:pPr>
        <w:pStyle w:val="BodyText"/>
      </w:pPr>
      <w:r>
        <w:t xml:space="preserve">In accordance with the </w:t>
      </w:r>
      <w:r w:rsidRPr="00485D7B">
        <w:rPr>
          <w:rStyle w:val="Characteritalic"/>
          <w:lang w:eastAsia="en-US"/>
        </w:rPr>
        <w:t>Financial Management Act 1994</w:t>
      </w:r>
      <w:r>
        <w:t>, I am pleased to present the Victorian Equal Opportunity and Human Rights Commission’s Annual Report for the year ending 30 June 2019.</w:t>
      </w:r>
    </w:p>
    <w:p w:rsidR="0024051E" w:rsidRDefault="0024051E" w:rsidP="00CF3E72">
      <w:pPr>
        <w:pStyle w:val="BodyText"/>
      </w:pPr>
      <w:r>
        <w:t>Yours sincerely</w:t>
      </w:r>
    </w:p>
    <w:p w:rsidR="0024051E" w:rsidRPr="00485D7B" w:rsidRDefault="0024051E" w:rsidP="00CF3E72">
      <w:pPr>
        <w:pStyle w:val="BodyText"/>
        <w:rPr>
          <w:b/>
        </w:rPr>
      </w:pPr>
      <w:r w:rsidRPr="00485D7B">
        <w:rPr>
          <w:b/>
        </w:rPr>
        <w:t>Moana Weir – Chairperson</w:t>
      </w:r>
      <w:r w:rsidRPr="00485D7B">
        <w:rPr>
          <w:b/>
        </w:rPr>
        <w:br/>
        <w:t>Victorian Equal Opportunity and Human Rights Commission</w:t>
      </w:r>
    </w:p>
    <w:p w:rsidR="0024051E" w:rsidRPr="00485D7B" w:rsidRDefault="00FB080C" w:rsidP="00CF3E72">
      <w:pPr>
        <w:pStyle w:val="Heading1"/>
      </w:pPr>
      <w:bookmarkStart w:id="4" w:name="_Toc21701395"/>
      <w:r>
        <w:br w:type="page"/>
      </w:r>
      <w:r w:rsidR="0024051E">
        <w:lastRenderedPageBreak/>
        <w:t>Introduction</w:t>
      </w:r>
      <w:bookmarkEnd w:id="4"/>
    </w:p>
    <w:p w:rsidR="0024051E" w:rsidRPr="00485D7B" w:rsidRDefault="0024051E" w:rsidP="00CF3E72">
      <w:pPr>
        <w:pStyle w:val="BodyText"/>
      </w:pPr>
      <w:r w:rsidRPr="00485D7B">
        <w:t xml:space="preserve">The past year has seen very public debate on issues that are at the heart of what the Commission stands for: freedom from sexual harassment and discrimination; better protection for those who face vilification or harm because of their race, religion, sexual orientation or gender identity; much-needed scrutiny into our mental health system; and holding to account the institutions that are entrusted to care for vulnerable members of our communities. We have worked across all of these issues and helped bring a human rights focus to judicial decisions, government policies and practices, education systems, organisational cultures and communities across Victoria. </w:t>
      </w:r>
    </w:p>
    <w:p w:rsidR="0024051E" w:rsidRPr="00485D7B" w:rsidRDefault="0024051E" w:rsidP="00CF3E72">
      <w:pPr>
        <w:pStyle w:val="BodyText"/>
      </w:pPr>
      <w:r w:rsidRPr="00485D7B">
        <w:t>It is often remarked that Victoria has the most progressive equal opportunity and human rights framework across Australia. While that is true, in some respects we can also see that it is time to consider what greater protections and stronger laws are required to ensure there is appropriate accountability for the protection of equal opportunity and human rights in our workplaces, sporting clubs, hospitals, prisons and schools and how these rights translate for all Victorians.</w:t>
      </w:r>
    </w:p>
    <w:p w:rsidR="0024051E" w:rsidRPr="00485D7B" w:rsidRDefault="0024051E" w:rsidP="00CF3E72">
      <w:pPr>
        <w:pStyle w:val="BodyText"/>
      </w:pPr>
      <w:r w:rsidRPr="00485D7B">
        <w:t>This year we have advocated for greater powers of enforceability under the Equal Opportunity Act. This would mean increased accountability for employers, service providers and governments to ensure they are preventing discrimination and harassment and that there are more serious consequences when that fails to occur. It would also help shift the heavy burden away from individuals to make complaints.</w:t>
      </w:r>
    </w:p>
    <w:p w:rsidR="0024051E" w:rsidRPr="00485D7B" w:rsidRDefault="0024051E" w:rsidP="00CF3E72">
      <w:pPr>
        <w:pStyle w:val="BodyText"/>
      </w:pPr>
      <w:r w:rsidRPr="00485D7B">
        <w:t xml:space="preserve">Enforceability is the pointy end of the system and is necessary in some circumstances, but our work this year also shows how important it is to work with employers, services providers and public authorities in a collaborative and innovative way to help create cultures and systems that are inclusive, respectful and safe. </w:t>
      </w:r>
    </w:p>
    <w:p w:rsidR="0024051E" w:rsidRPr="00485D7B" w:rsidRDefault="0024051E" w:rsidP="00CF3E72">
      <w:pPr>
        <w:pStyle w:val="BodyText"/>
      </w:pPr>
      <w:r w:rsidRPr="00485D7B">
        <w:t xml:space="preserve">This year marks the third and final phase of the groundbreaking work we began with Victoria Police in 2015. Phase 3 of our independent review into sex discrimination and sexual harassment analyses the steps Victoria Police has taken to address an entrenched culture of harassment and inequality and what has changed in the organisation as a result. This unique partnership has resulted in a two per cent reduction in the gender pay gap and an almost 20 per cent increase in the uptake of flexible work. Women’s representation at various ranks and roles has also increased, and women comprised 40 per cent of Command appointments between 2015 and 2018. </w:t>
      </w:r>
    </w:p>
    <w:p w:rsidR="0024051E" w:rsidRPr="00485D7B" w:rsidRDefault="0024051E" w:rsidP="00CF3E72">
      <w:pPr>
        <w:pStyle w:val="BodyText"/>
      </w:pPr>
      <w:r w:rsidRPr="00485D7B">
        <w:t xml:space="preserve">This year the Commission also piloted Raise It!, a dynamic program supported by the Office for Women that combines digital tools, staff resources and intensive education to help employers and employees tackle difficult conversations about sexual harassment, pregnancy discrimination and flexible work. The success of the approach is evidenced by 85 per cent of participants saying they felt better prepared to make a complaint about sexual harassment and 78 per cent reporting increased confidence to make a request for parental leave or flexible work. In addition to Raise It!, the Commission delivered 367 education and training sessions to 6930 participants. </w:t>
      </w:r>
    </w:p>
    <w:p w:rsidR="0024051E" w:rsidRPr="00485D7B" w:rsidRDefault="0024051E" w:rsidP="00CF3E72">
      <w:pPr>
        <w:pStyle w:val="BodyText"/>
      </w:pPr>
      <w:r w:rsidRPr="00485D7B">
        <w:t xml:space="preserve">This year the Commission also conducted a major investigation into discrimination on the basis of mental health in travel insurance. The investigation found that, in an eight-month period, three major travel insurers sold more than 365,000 policies </w:t>
      </w:r>
      <w:r w:rsidRPr="00485D7B">
        <w:lastRenderedPageBreak/>
        <w:t xml:space="preserve">containing terms that discriminated against people with mental health conditions. As a result of this investigation, the insurers who took part all removed, or took steps to remove, discriminatory blanket mental health exclusions from their travel insurance policies. </w:t>
      </w:r>
    </w:p>
    <w:p w:rsidR="0024051E" w:rsidRPr="00485D7B" w:rsidRDefault="0024051E" w:rsidP="00CF3E72">
      <w:pPr>
        <w:pStyle w:val="BodyText"/>
      </w:pPr>
      <w:r w:rsidRPr="00485D7B">
        <w:t xml:space="preserve">The Commission also advocates for human rights and equality by making interventions in our legal proceedings. This year we continued our involvement in several ongoing legal cases, which resulted in positive outcomes for those involved, including disability access in residential buildings and the importance of considering Aboriginal cultural rights in court decisions. You can read more about these interventions on page 36. </w:t>
      </w:r>
    </w:p>
    <w:p w:rsidR="0024051E" w:rsidRPr="00485D7B" w:rsidRDefault="0024051E" w:rsidP="00CF3E72">
      <w:pPr>
        <w:pStyle w:val="BodyText"/>
      </w:pPr>
      <w:r w:rsidRPr="00485D7B">
        <w:t xml:space="preserve">We also continued to build a human rights culture across the public sector through targeted educations sessions, engaging departmental leadership and working with vulnerable communities to make them more aware of their rights and how to access assistance. </w:t>
      </w:r>
    </w:p>
    <w:p w:rsidR="0024051E" w:rsidRPr="00485D7B" w:rsidRDefault="0024051E" w:rsidP="00CF3E72">
      <w:pPr>
        <w:pStyle w:val="BodyText"/>
      </w:pPr>
      <w:r w:rsidRPr="00485D7B">
        <w:t>The ability to reach all Victorians is very important for the Commission and this year we focused on improving our accessibility through greater community engagement and the redevelopment of our website which is accessed by more than half a million people every year. The new website and a simplified complaints process will be launched later in 2019.</w:t>
      </w:r>
    </w:p>
    <w:p w:rsidR="0024051E" w:rsidRPr="00485D7B" w:rsidRDefault="0024051E" w:rsidP="00CF3E72">
      <w:pPr>
        <w:pStyle w:val="BodyText"/>
      </w:pPr>
      <w:r w:rsidRPr="00485D7B">
        <w:t>Much of our work continues to be helping individuals resolve their issues of discrimination. This year we took more than 30 enquiries each day, which led to 910 formal complaints raising almost 2000 discrete issues. Most complaints related to discrimination on the basis of a disability, with the next most common areas of complaint being sex discrimination, race and sexual harassment, and 96 per cent of our clients reported satisfaction with the process and service. We use what we learn through our individual dispute resolution service to advocate for changes to the structures, systems and policies that entrench inequality.</w:t>
      </w:r>
    </w:p>
    <w:p w:rsidR="0024051E" w:rsidRPr="00485D7B" w:rsidRDefault="0024051E" w:rsidP="00CF3E72">
      <w:pPr>
        <w:pStyle w:val="BodyText"/>
      </w:pPr>
      <w:r w:rsidRPr="00485D7B">
        <w:t>Promoting and protecting human rights is not always easy work. The Commission is lucky to have such talented and dedicated staff and such an engaged and broad range of stakeholders that are similarly dedicated to improving the lives of all Victorians.</w:t>
      </w:r>
    </w:p>
    <w:p w:rsidR="0024051E" w:rsidRDefault="0024051E" w:rsidP="00485D7B">
      <w:pPr>
        <w:pStyle w:val="Heading5"/>
      </w:pPr>
    </w:p>
    <w:p w:rsidR="0024051E" w:rsidRDefault="0024051E" w:rsidP="00485D7B">
      <w:pPr>
        <w:pStyle w:val="Heading5"/>
      </w:pPr>
    </w:p>
    <w:p w:rsidR="0024051E" w:rsidRDefault="00423442" w:rsidP="00485D7B">
      <w:pPr>
        <w:pStyle w:val="Heading5"/>
      </w:pPr>
      <w:r>
        <w:pict>
          <v:shape id="_x0000_i1025" type="#_x0000_t75" style="width:159.75pt;height:66.75pt">
            <v:imagedata r:id="rId14" o:title=""/>
          </v:shape>
        </w:pict>
      </w:r>
    </w:p>
    <w:p w:rsidR="0024051E" w:rsidRPr="00485D7B" w:rsidRDefault="0024051E" w:rsidP="00485D7B">
      <w:pPr>
        <w:pStyle w:val="BodyText"/>
        <w:rPr>
          <w:b/>
        </w:rPr>
      </w:pPr>
      <w:r w:rsidRPr="00485D7B">
        <w:rPr>
          <w:b/>
        </w:rPr>
        <w:t>Moana Weir</w:t>
      </w:r>
      <w:r w:rsidRPr="00485D7B">
        <w:rPr>
          <w:b/>
        </w:rPr>
        <w:br/>
        <w:t>Chairperson</w:t>
      </w:r>
    </w:p>
    <w:p w:rsidR="0024051E" w:rsidRDefault="0024051E" w:rsidP="00485D7B">
      <w:pPr>
        <w:pStyle w:val="Heading5"/>
      </w:pPr>
    </w:p>
    <w:p w:rsidR="0024051E" w:rsidRDefault="0024051E" w:rsidP="00485D7B">
      <w:pPr>
        <w:pStyle w:val="Heading5"/>
      </w:pPr>
    </w:p>
    <w:p w:rsidR="0024051E" w:rsidRDefault="00423442" w:rsidP="00485D7B">
      <w:pPr>
        <w:pStyle w:val="Heading5"/>
      </w:pPr>
      <w:r>
        <w:lastRenderedPageBreak/>
        <w:pict>
          <v:shape id="_x0000_i1026" type="#_x0000_t75" style="width:163.5pt;height:49.5pt">
            <v:imagedata r:id="rId15" o:title=""/>
          </v:shape>
        </w:pict>
      </w:r>
    </w:p>
    <w:p w:rsidR="0024051E" w:rsidRPr="00485D7B" w:rsidRDefault="0024051E" w:rsidP="00485D7B">
      <w:pPr>
        <w:pStyle w:val="BodyText"/>
        <w:rPr>
          <w:b/>
        </w:rPr>
      </w:pPr>
      <w:r w:rsidRPr="00485D7B">
        <w:rPr>
          <w:b/>
        </w:rPr>
        <w:t>Kristen Hilton</w:t>
      </w:r>
      <w:r w:rsidRPr="00485D7B">
        <w:rPr>
          <w:b/>
        </w:rPr>
        <w:br/>
        <w:t xml:space="preserve">Victorian Equal Opportunity </w:t>
      </w:r>
      <w:r w:rsidRPr="00485D7B">
        <w:rPr>
          <w:b/>
        </w:rPr>
        <w:br/>
        <w:t>and Human Rights Commissioner</w:t>
      </w:r>
    </w:p>
    <w:p w:rsidR="0024051E" w:rsidRDefault="0024051E" w:rsidP="00485D7B">
      <w:pPr>
        <w:pStyle w:val="Heading5"/>
      </w:pPr>
    </w:p>
    <w:p w:rsidR="0024051E" w:rsidRDefault="007063DF" w:rsidP="00485D7B">
      <w:pPr>
        <w:pStyle w:val="Heading3"/>
      </w:pPr>
      <w:r>
        <w:br w:type="page"/>
      </w:r>
      <w:r w:rsidR="0024051E" w:rsidRPr="00485D7B">
        <w:lastRenderedPageBreak/>
        <w:t xml:space="preserve">Section 1 </w:t>
      </w:r>
    </w:p>
    <w:p w:rsidR="0024051E" w:rsidRDefault="0024051E" w:rsidP="00CF3E72">
      <w:pPr>
        <w:pStyle w:val="Heading1"/>
      </w:pPr>
      <w:bookmarkStart w:id="5" w:name="_Toc21701396"/>
      <w:r>
        <w:t>About the Commission</w:t>
      </w:r>
      <w:bookmarkEnd w:id="5"/>
    </w:p>
    <w:p w:rsidR="0024051E" w:rsidRPr="00485D7B" w:rsidRDefault="0024051E" w:rsidP="00CF3E72">
      <w:pPr>
        <w:pStyle w:val="BodyText"/>
      </w:pPr>
      <w:r w:rsidRPr="00485D7B">
        <w:t>The Victorian Equal Opportunity and Human Rights Commission is an independent statutory body with responsibilities under three pieces of legislation. It reports to Parliament through the Attorney-General.</w:t>
      </w:r>
    </w:p>
    <w:tbl>
      <w:tblPr>
        <w:tblW w:w="0" w:type="auto"/>
        <w:tblLook w:val="04A0" w:firstRow="1" w:lastRow="0" w:firstColumn="1" w:lastColumn="0" w:noHBand="0" w:noVBand="1"/>
      </w:tblPr>
      <w:tblGrid>
        <w:gridCol w:w="9286"/>
      </w:tblGrid>
      <w:tr w:rsidR="007063DF" w:rsidRPr="009549EF" w:rsidTr="009549EF">
        <w:tc>
          <w:tcPr>
            <w:tcW w:w="9286" w:type="dxa"/>
            <w:shd w:val="clear" w:color="auto" w:fill="C5E0B3"/>
          </w:tcPr>
          <w:p w:rsidR="007063DF" w:rsidRPr="009549EF" w:rsidRDefault="007063DF" w:rsidP="007063DF">
            <w:pPr>
              <w:pStyle w:val="Heading3"/>
              <w:rPr>
                <w:lang w:val="en-US"/>
              </w:rPr>
            </w:pPr>
            <w:r w:rsidRPr="009549EF">
              <w:rPr>
                <w:lang w:val="en-US"/>
              </w:rPr>
              <w:t>Our laws</w:t>
            </w:r>
          </w:p>
          <w:p w:rsidR="007063DF" w:rsidRPr="009549EF" w:rsidRDefault="007063DF" w:rsidP="007063DF">
            <w:pPr>
              <w:pStyle w:val="ListBullet"/>
              <w:rPr>
                <w:lang w:val="en-US"/>
              </w:rPr>
            </w:pPr>
            <w:r w:rsidRPr="009549EF">
              <w:rPr>
                <w:lang w:val="en-US"/>
              </w:rPr>
              <w:t xml:space="preserve">The </w:t>
            </w:r>
            <w:r w:rsidRPr="009549EF">
              <w:rPr>
                <w:rStyle w:val="Characteritalic"/>
                <w:lang w:eastAsia="en-GB"/>
              </w:rPr>
              <w:t xml:space="preserve">Equal Opportunity Act 2010 </w:t>
            </w:r>
            <w:r w:rsidRPr="009549EF">
              <w:rPr>
                <w:lang w:val="en-US"/>
              </w:rPr>
              <w:t xml:space="preserve">makes it against the law to discriminate against people on the basis of a number of personal characteristics and prohibits sexual harassment and victimisation. It also includes a positive duty, which requires all organisations covered by the law – including government, business, employers and service providers – to take reasonable and proportionate measures to eliminate discrimination, sexual harassment and victimisation as far as possible. </w:t>
            </w:r>
          </w:p>
          <w:p w:rsidR="007063DF" w:rsidRPr="009549EF" w:rsidRDefault="007063DF" w:rsidP="007063DF">
            <w:pPr>
              <w:pStyle w:val="ListBullet"/>
              <w:rPr>
                <w:lang w:val="en-US"/>
              </w:rPr>
            </w:pPr>
            <w:r w:rsidRPr="009549EF">
              <w:rPr>
                <w:lang w:val="en-US"/>
              </w:rPr>
              <w:t xml:space="preserve">The </w:t>
            </w:r>
            <w:r w:rsidRPr="009549EF">
              <w:rPr>
                <w:rStyle w:val="Characteritalic"/>
                <w:lang w:eastAsia="en-GB"/>
              </w:rPr>
              <w:t xml:space="preserve">Racial and Religious Tolerance Act 2001 </w:t>
            </w:r>
            <w:r w:rsidRPr="009549EF">
              <w:rPr>
                <w:lang w:val="en-US"/>
              </w:rPr>
              <w:t>makes it against the law to vilify people because of their race or religion.</w:t>
            </w:r>
          </w:p>
          <w:p w:rsidR="007063DF" w:rsidRPr="009549EF" w:rsidRDefault="007063DF" w:rsidP="007063DF">
            <w:pPr>
              <w:pStyle w:val="ListBullet"/>
              <w:rPr>
                <w:lang w:val="en-US"/>
              </w:rPr>
            </w:pPr>
            <w:r w:rsidRPr="009549EF">
              <w:rPr>
                <w:lang w:val="en-US"/>
              </w:rPr>
              <w:t xml:space="preserve">The </w:t>
            </w:r>
            <w:r w:rsidRPr="009549EF">
              <w:rPr>
                <w:rStyle w:val="Characteritalic"/>
                <w:lang w:eastAsia="en-GB"/>
              </w:rPr>
              <w:t xml:space="preserve">Charter of Human Rights and Responsibilities Act 2006 </w:t>
            </w:r>
            <w:r w:rsidRPr="009549EF">
              <w:rPr>
                <w:lang w:val="en-US"/>
              </w:rPr>
              <w:t xml:space="preserve">(the Charter) identifies 20 human rights applicable to all Victorians and requires government and public bodies to consider these rights when making laws and providing services. </w:t>
            </w:r>
          </w:p>
        </w:tc>
      </w:tr>
    </w:tbl>
    <w:p w:rsidR="007063DF" w:rsidRDefault="007063DF" w:rsidP="007063DF">
      <w:pPr>
        <w:pStyle w:val="BodyText"/>
      </w:pPr>
    </w:p>
    <w:tbl>
      <w:tblPr>
        <w:tblW w:w="0" w:type="auto"/>
        <w:tblLook w:val="04A0" w:firstRow="1" w:lastRow="0" w:firstColumn="1" w:lastColumn="0" w:noHBand="0" w:noVBand="1"/>
      </w:tblPr>
      <w:tblGrid>
        <w:gridCol w:w="9286"/>
      </w:tblGrid>
      <w:tr w:rsidR="007063DF" w:rsidRPr="009549EF" w:rsidTr="009549EF">
        <w:tc>
          <w:tcPr>
            <w:tcW w:w="9286" w:type="dxa"/>
            <w:shd w:val="clear" w:color="auto" w:fill="C5E0B3"/>
          </w:tcPr>
          <w:p w:rsidR="007063DF" w:rsidRPr="009549EF" w:rsidRDefault="007063DF" w:rsidP="007063DF">
            <w:pPr>
              <w:pStyle w:val="Heading3"/>
              <w:rPr>
                <w:lang w:val="en-US"/>
              </w:rPr>
            </w:pPr>
            <w:r w:rsidRPr="009549EF">
              <w:rPr>
                <w:lang w:val="en-US"/>
              </w:rPr>
              <w:t>Our vision</w:t>
            </w:r>
          </w:p>
          <w:p w:rsidR="007063DF" w:rsidRPr="009549EF" w:rsidRDefault="007063DF" w:rsidP="007063DF">
            <w:pPr>
              <w:pStyle w:val="BodyText"/>
              <w:rPr>
                <w:lang w:val="en-US"/>
              </w:rPr>
            </w:pPr>
            <w:r w:rsidRPr="009549EF">
              <w:rPr>
                <w:lang w:val="en-US"/>
              </w:rPr>
              <w:t>is for a fair, safe and inclusive Victoria where every person is respected and treated with dignity.</w:t>
            </w:r>
          </w:p>
        </w:tc>
      </w:tr>
    </w:tbl>
    <w:p w:rsidR="007063DF" w:rsidRDefault="007063DF" w:rsidP="007063DF">
      <w:pPr>
        <w:pStyle w:val="BodyText"/>
      </w:pPr>
    </w:p>
    <w:tbl>
      <w:tblPr>
        <w:tblW w:w="0" w:type="auto"/>
        <w:tblLook w:val="04A0" w:firstRow="1" w:lastRow="0" w:firstColumn="1" w:lastColumn="0" w:noHBand="0" w:noVBand="1"/>
      </w:tblPr>
      <w:tblGrid>
        <w:gridCol w:w="9286"/>
      </w:tblGrid>
      <w:tr w:rsidR="007063DF" w:rsidRPr="009549EF" w:rsidTr="009549EF">
        <w:tc>
          <w:tcPr>
            <w:tcW w:w="9286" w:type="dxa"/>
            <w:shd w:val="clear" w:color="auto" w:fill="C5E0B3"/>
          </w:tcPr>
          <w:p w:rsidR="007063DF" w:rsidRPr="009549EF" w:rsidRDefault="007063DF" w:rsidP="007063DF">
            <w:pPr>
              <w:pStyle w:val="Heading3"/>
              <w:rPr>
                <w:lang w:val="en-US"/>
              </w:rPr>
            </w:pPr>
            <w:r w:rsidRPr="009549EF">
              <w:rPr>
                <w:lang w:val="en-US"/>
              </w:rPr>
              <w:t>Our mission</w:t>
            </w:r>
          </w:p>
          <w:p w:rsidR="007063DF" w:rsidRPr="009549EF" w:rsidRDefault="007063DF" w:rsidP="007063DF">
            <w:pPr>
              <w:pStyle w:val="BodyText"/>
              <w:rPr>
                <w:lang w:val="en-US"/>
              </w:rPr>
            </w:pPr>
            <w:r w:rsidRPr="009549EF">
              <w:rPr>
                <w:lang w:val="en-US"/>
              </w:rPr>
              <w:t>is to engage and influence law and policy makers, institutions, communities and individuals to protect and promote human rights in Victoria.</w:t>
            </w:r>
          </w:p>
        </w:tc>
      </w:tr>
    </w:tbl>
    <w:p w:rsidR="0024051E" w:rsidRPr="00485D7B" w:rsidRDefault="0024051E" w:rsidP="007063DF">
      <w:pPr>
        <w:pStyle w:val="Heading2"/>
      </w:pPr>
      <w:bookmarkStart w:id="6" w:name="_Toc21701397"/>
      <w:r w:rsidRPr="00485D7B">
        <w:t>Strategic plan</w:t>
      </w:r>
      <w:bookmarkEnd w:id="6"/>
    </w:p>
    <w:p w:rsidR="0024051E" w:rsidRPr="00485D7B" w:rsidRDefault="0024051E" w:rsidP="00CF3E72">
      <w:pPr>
        <w:pStyle w:val="BodyText"/>
      </w:pPr>
      <w:r w:rsidRPr="00485D7B">
        <w:t xml:space="preserve">During 2017–2022 we will focus on four priorities as outlined in our </w:t>
      </w:r>
      <w:r w:rsidRPr="00485D7B">
        <w:rPr>
          <w:rStyle w:val="Characteritalic"/>
          <w:lang w:eastAsia="en-US"/>
        </w:rPr>
        <w:t>Strategic Plan: Upholding human rights close to home</w:t>
      </w:r>
      <w:r w:rsidRPr="00485D7B">
        <w:t>. We set these priorities based on how we can best contribute to the change we want to see, considering our mandate, expertise and the current needs in the community.</w:t>
      </w:r>
    </w:p>
    <w:p w:rsidR="0024051E" w:rsidRPr="00485D7B" w:rsidRDefault="0024051E" w:rsidP="00CF3E72">
      <w:pPr>
        <w:pStyle w:val="BodyText"/>
      </w:pPr>
      <w:r w:rsidRPr="00485D7B">
        <w:t>This plan sets the direction for our work towards achieving our long-term goals: for human rights to be central to law and policy development, for people to value and stand up for human rights, and for institutions across sectors to champion human rights and develop, adopt and drive leading practice.</w:t>
      </w:r>
    </w:p>
    <w:p w:rsidR="0024051E" w:rsidRPr="00485D7B" w:rsidRDefault="0024051E" w:rsidP="00CF3E72">
      <w:pPr>
        <w:pStyle w:val="BodyText"/>
      </w:pPr>
      <w:r w:rsidRPr="00485D7B">
        <w:t xml:space="preserve">The Commission is a dynamic organisation and we will continue to be responsive to matters of public policy, law and practice that concern equality and human rights. </w:t>
      </w:r>
    </w:p>
    <w:p w:rsidR="0024051E" w:rsidRPr="00485D7B" w:rsidRDefault="0024051E" w:rsidP="00CF3E72">
      <w:pPr>
        <w:pStyle w:val="BodyText"/>
      </w:pPr>
      <w:r w:rsidRPr="00485D7B">
        <w:lastRenderedPageBreak/>
        <w:t>We will continue to evaluate the work we are doing under these priorities and consider the impact it is having in 2019.</w:t>
      </w:r>
    </w:p>
    <w:p w:rsidR="0024051E" w:rsidRDefault="0024051E" w:rsidP="007063DF">
      <w:pPr>
        <w:pStyle w:val="Heading3"/>
      </w:pPr>
      <w:r>
        <w:t>Strategic priorities</w:t>
      </w:r>
    </w:p>
    <w:p w:rsidR="0024051E" w:rsidRDefault="0024051E" w:rsidP="007063DF">
      <w:pPr>
        <w:pStyle w:val="ListBullet"/>
      </w:pPr>
      <w:r>
        <w:t>Embedding a human rights culture</w:t>
      </w:r>
    </w:p>
    <w:p w:rsidR="0024051E" w:rsidRDefault="0024051E" w:rsidP="007063DF">
      <w:pPr>
        <w:pStyle w:val="ListBullet"/>
      </w:pPr>
      <w:r>
        <w:t>Improving workplace equality</w:t>
      </w:r>
    </w:p>
    <w:p w:rsidR="0024051E" w:rsidRDefault="0024051E" w:rsidP="007063DF">
      <w:pPr>
        <w:pStyle w:val="ListBullet"/>
      </w:pPr>
      <w:r>
        <w:t>Protecting human rights in closed environments</w:t>
      </w:r>
    </w:p>
    <w:p w:rsidR="0024051E" w:rsidRDefault="0024051E" w:rsidP="007063DF">
      <w:pPr>
        <w:pStyle w:val="ListBullet"/>
      </w:pPr>
      <w:r>
        <w:t>Reducing racism</w:t>
      </w:r>
    </w:p>
    <w:p w:rsidR="0024051E" w:rsidRDefault="0024051E" w:rsidP="007063DF">
      <w:pPr>
        <w:pStyle w:val="Heading3"/>
      </w:pPr>
      <w:r>
        <w:t>Our principles</w:t>
      </w:r>
    </w:p>
    <w:p w:rsidR="0024051E" w:rsidRDefault="0024051E" w:rsidP="00CF3E72">
      <w:pPr>
        <w:pStyle w:val="BodyText"/>
      </w:pPr>
      <w:r>
        <w:t xml:space="preserve">We will ensure that: </w:t>
      </w:r>
    </w:p>
    <w:p w:rsidR="0024051E" w:rsidRDefault="0024051E" w:rsidP="007063DF">
      <w:pPr>
        <w:pStyle w:val="ListBullet"/>
      </w:pPr>
      <w:r>
        <w:t>we make human rights accessible and resonate for all Victorians</w:t>
      </w:r>
    </w:p>
    <w:p w:rsidR="0024051E" w:rsidRDefault="0024051E" w:rsidP="007063DF">
      <w:pPr>
        <w:pStyle w:val="ListBullet"/>
      </w:pPr>
      <w:r>
        <w:t>we lead with evidence and research</w:t>
      </w:r>
    </w:p>
    <w:p w:rsidR="0024051E" w:rsidRDefault="0024051E" w:rsidP="007063DF">
      <w:pPr>
        <w:pStyle w:val="ListBullet"/>
      </w:pPr>
      <w:r>
        <w:t>our work is designed to have a transformative impact</w:t>
      </w:r>
    </w:p>
    <w:p w:rsidR="0024051E" w:rsidRDefault="0024051E" w:rsidP="007063DF">
      <w:pPr>
        <w:pStyle w:val="ListBullet"/>
      </w:pPr>
      <w:r>
        <w:t>we invest in our people to be the best human rights organisation we can be.</w:t>
      </w:r>
    </w:p>
    <w:p w:rsidR="0024051E" w:rsidRDefault="0024051E" w:rsidP="007063DF">
      <w:pPr>
        <w:pStyle w:val="Heading2"/>
      </w:pPr>
      <w:bookmarkStart w:id="7" w:name="_Toc21701398"/>
      <w:r>
        <w:t>Organisational structure</w:t>
      </w:r>
      <w:bookmarkEnd w:id="7"/>
    </w:p>
    <w:p w:rsidR="0024051E" w:rsidRDefault="0024051E" w:rsidP="00CF3E72">
      <w:pPr>
        <w:pStyle w:val="BodyText"/>
      </w:pPr>
      <w:r>
        <w:t>The Commissioner leads six branches to deliver the work of the Commission. These branches work in a collaborative way to bring different skills and expertise to focus on particular issues. The Commission has a Board of Governance comprising up to seven members appointed by the Governor-in-Council on the recommendation of the Attorney-General.</w:t>
      </w:r>
    </w:p>
    <w:p w:rsidR="0024051E" w:rsidRPr="00485D7B" w:rsidRDefault="0024051E" w:rsidP="007063DF">
      <w:pPr>
        <w:pStyle w:val="Heading4"/>
      </w:pPr>
      <w:r w:rsidRPr="00485D7B">
        <w:t xml:space="preserve">Executive </w:t>
      </w:r>
    </w:p>
    <w:p w:rsidR="0024051E" w:rsidRPr="00485D7B" w:rsidRDefault="0024051E" w:rsidP="00CF3E72">
      <w:pPr>
        <w:pStyle w:val="BodyText"/>
      </w:pPr>
      <w:r w:rsidRPr="00485D7B">
        <w:t>The Executive Branch provides strategic and administrative support to the Commissioner and Executive Director, manages relationships with key government stakeholders, coordinates the Commission’s work flow and provides a secretariat function to the Board.</w:t>
      </w:r>
    </w:p>
    <w:p w:rsidR="0024051E" w:rsidRPr="00485D7B" w:rsidRDefault="0024051E" w:rsidP="007063DF">
      <w:pPr>
        <w:pStyle w:val="Heading4"/>
      </w:pPr>
      <w:r w:rsidRPr="00485D7B">
        <w:t>Legal and Dispute Resolution</w:t>
      </w:r>
    </w:p>
    <w:p w:rsidR="0024051E" w:rsidRPr="00485D7B" w:rsidRDefault="0024051E" w:rsidP="00CF3E72">
      <w:pPr>
        <w:pStyle w:val="BodyText"/>
      </w:pPr>
      <w:r w:rsidRPr="00485D7B">
        <w:t>The Legal and Dispute Resolution Branch leads the Commission’s dispute resolution service, its court and tribunal intervention, Charter of Human Rights reporting and investigation functions. It also provides expert legal advice to the Commission.</w:t>
      </w:r>
    </w:p>
    <w:p w:rsidR="0024051E" w:rsidRPr="00485D7B" w:rsidRDefault="0024051E" w:rsidP="007063DF">
      <w:pPr>
        <w:pStyle w:val="Heading4"/>
      </w:pPr>
      <w:r w:rsidRPr="00485D7B">
        <w:t>Education and Engagement</w:t>
      </w:r>
    </w:p>
    <w:p w:rsidR="0024051E" w:rsidRPr="00485D7B" w:rsidRDefault="0024051E" w:rsidP="00CF3E72">
      <w:pPr>
        <w:pStyle w:val="BodyText"/>
      </w:pPr>
      <w:r w:rsidRPr="00485D7B">
        <w:t>The Education and Engagement Branch provides a range of services, including tailored and innovative digital information and education, face-to-face training and consultancy, community capacity building and workplace solutions. These services aim to reduce discrimination, overcome systemic and attitudinal barriers and incorporate an approach to service delivery and decision-making that is based on human rights.</w:t>
      </w:r>
    </w:p>
    <w:p w:rsidR="0024051E" w:rsidRDefault="0024051E" w:rsidP="007063DF">
      <w:pPr>
        <w:pStyle w:val="Heading4"/>
      </w:pPr>
      <w:r>
        <w:lastRenderedPageBreak/>
        <w:t>Policy and Research</w:t>
      </w:r>
    </w:p>
    <w:p w:rsidR="0024051E" w:rsidRDefault="0024051E" w:rsidP="00CF3E72">
      <w:pPr>
        <w:pStyle w:val="BodyText"/>
      </w:pPr>
      <w:r>
        <w:t>The Policy and Research Branch identifies and addresses systemic equal opportunity and human rights issues in Victoria by providing policy advice and conducting best practice research to build a strong evidence base. The branch also leads the Commission’s reviews of organisational programs and practices to determine compliance with the Equal Opportunity Act and the Charter of Human Rights and Responsibilities.</w:t>
      </w:r>
    </w:p>
    <w:p w:rsidR="0024051E" w:rsidRDefault="0024051E" w:rsidP="007063DF">
      <w:pPr>
        <w:pStyle w:val="Heading4"/>
      </w:pPr>
      <w:r>
        <w:t>Communications and Campaigns</w:t>
      </w:r>
    </w:p>
    <w:p w:rsidR="0024051E" w:rsidRDefault="0024051E" w:rsidP="00CF3E72">
      <w:pPr>
        <w:pStyle w:val="BodyText"/>
      </w:pPr>
      <w:r>
        <w:t>The Communications and Campaigns Branch manages campaigns to increase awareness, build compliance, and maintain a strong public voice on human rights and equal opportunity issues. The branch manages media liaison and provides specialist expertise and communication services across all the Commission’s functions.</w:t>
      </w:r>
    </w:p>
    <w:p w:rsidR="0024051E" w:rsidRDefault="0024051E" w:rsidP="007063DF">
      <w:pPr>
        <w:pStyle w:val="Heading4"/>
      </w:pPr>
      <w:r>
        <w:t>Business Services</w:t>
      </w:r>
    </w:p>
    <w:p w:rsidR="0024051E" w:rsidRDefault="0024051E" w:rsidP="00CF3E72">
      <w:pPr>
        <w:pStyle w:val="BodyText"/>
      </w:pPr>
      <w:r>
        <w:t>The Business Services Branch supports and enables a professional, engaged and high-performing workforce and culture and provides organisational support for the Commission’s finance, people and culture, information management and technology, and office administration functions.</w:t>
      </w:r>
    </w:p>
    <w:p w:rsidR="0024051E" w:rsidRDefault="00C30441" w:rsidP="00485D7B">
      <w:pPr>
        <w:pStyle w:val="Heading3"/>
      </w:pPr>
      <w:r>
        <w:br w:type="page"/>
      </w:r>
      <w:r w:rsidR="0024051E" w:rsidRPr="00485D7B">
        <w:lastRenderedPageBreak/>
        <w:t xml:space="preserve">Section 2 </w:t>
      </w:r>
    </w:p>
    <w:p w:rsidR="0024051E" w:rsidRPr="00485D7B" w:rsidRDefault="0024051E" w:rsidP="00CF3E72">
      <w:pPr>
        <w:pStyle w:val="Heading1"/>
      </w:pPr>
      <w:bookmarkStart w:id="8" w:name="_Toc21701399"/>
      <w:r w:rsidRPr="00485D7B">
        <w:t>2018–19 in review</w:t>
      </w:r>
      <w:bookmarkEnd w:id="8"/>
      <w:r w:rsidRPr="00485D7B">
        <w:t xml:space="preserve"> </w:t>
      </w:r>
    </w:p>
    <w:p w:rsidR="0024051E" w:rsidRDefault="0024051E" w:rsidP="007063DF">
      <w:pPr>
        <w:pStyle w:val="BodyText"/>
      </w:pPr>
      <w:r>
        <w:t>The Commission’s role is to protect and promote human rights in Victoria, and we do this through a range of functions under our laws. These functions cover our important day-to-day work, as well as key projects and initiatives, and enable us to: </w:t>
      </w:r>
    </w:p>
    <w:p w:rsidR="0024051E" w:rsidRDefault="0024051E" w:rsidP="007063DF">
      <w:pPr>
        <w:pStyle w:val="ListBullet"/>
      </w:pPr>
      <w:r>
        <w:t>resolve complaints</w:t>
      </w:r>
    </w:p>
    <w:p w:rsidR="0024051E" w:rsidRDefault="0024051E" w:rsidP="007063DF">
      <w:pPr>
        <w:pStyle w:val="ListBullet"/>
      </w:pPr>
      <w:r>
        <w:t>research</w:t>
      </w:r>
    </w:p>
    <w:p w:rsidR="0024051E" w:rsidRDefault="0024051E" w:rsidP="007063DF">
      <w:pPr>
        <w:pStyle w:val="ListBullet"/>
      </w:pPr>
      <w:r>
        <w:t>educate</w:t>
      </w:r>
    </w:p>
    <w:p w:rsidR="0024051E" w:rsidRDefault="0024051E" w:rsidP="007063DF">
      <w:pPr>
        <w:pStyle w:val="ListBullet"/>
      </w:pPr>
      <w:r>
        <w:t>advocate</w:t>
      </w:r>
    </w:p>
    <w:p w:rsidR="0024051E" w:rsidRDefault="0024051E" w:rsidP="007063DF">
      <w:pPr>
        <w:pStyle w:val="ListBullet"/>
      </w:pPr>
      <w:r>
        <w:t>monitor</w:t>
      </w:r>
    </w:p>
    <w:p w:rsidR="0024051E" w:rsidRDefault="0024051E" w:rsidP="007063DF">
      <w:pPr>
        <w:pStyle w:val="ListBullet"/>
      </w:pPr>
      <w:r>
        <w:t>enforce.</w:t>
      </w:r>
    </w:p>
    <w:p w:rsidR="0024051E" w:rsidRDefault="0024051E" w:rsidP="00CF3E72">
      <w:pPr>
        <w:pStyle w:val="BodyText"/>
      </w:pPr>
      <w:r>
        <w:t>In 2018–19 we undertook a wide range of work under these functions, as well as projects that aim to increase the impact of our work and build a stronger, more effective organisation.</w:t>
      </w:r>
    </w:p>
    <w:p w:rsidR="0024051E" w:rsidRDefault="0024051E" w:rsidP="007063DF">
      <w:pPr>
        <w:pStyle w:val="Heading2"/>
      </w:pPr>
      <w:bookmarkStart w:id="9" w:name="_Toc21701400"/>
      <w:r>
        <w:t>Resolve complaints</w:t>
      </w:r>
      <w:bookmarkEnd w:id="9"/>
    </w:p>
    <w:p w:rsidR="0024051E" w:rsidRDefault="0024051E" w:rsidP="007063DF">
      <w:pPr>
        <w:pStyle w:val="Heading4"/>
      </w:pPr>
      <w:r>
        <w:t xml:space="preserve">We resolve complaints of discrimination, sexual harassment, victimisation and racial and religious vilification through our free and confidential dispute resolution service. We also use the information to inform our work to address systemic discrimination. </w:t>
      </w:r>
    </w:p>
    <w:p w:rsidR="0024051E" w:rsidRDefault="0024051E" w:rsidP="007063DF">
      <w:pPr>
        <w:pStyle w:val="Heading3"/>
      </w:pPr>
      <w:r>
        <w:t>Dispute resolution service review</w:t>
      </w:r>
    </w:p>
    <w:p w:rsidR="0024051E" w:rsidRDefault="0024051E" w:rsidP="00CF3E72">
      <w:pPr>
        <w:pStyle w:val="BodyText"/>
      </w:pPr>
      <w:r>
        <w:t xml:space="preserve">The Commission provides a dispute resolution service under the Equal Opportunity Act and Racial and Religious Tolerance Act. This service is central to the Commission’s role in protecting and promoting human rights. </w:t>
      </w:r>
    </w:p>
    <w:p w:rsidR="0024051E" w:rsidRDefault="0024051E" w:rsidP="00CF3E72">
      <w:pPr>
        <w:pStyle w:val="BodyText"/>
      </w:pPr>
      <w:r>
        <w:t xml:space="preserve">In 2018, the Commission commenced a review of its dispute resolution service to improve the way we resolve complaints for members of the community. </w:t>
      </w:r>
    </w:p>
    <w:p w:rsidR="0024051E" w:rsidRDefault="0024051E" w:rsidP="00CF3E72">
      <w:pPr>
        <w:pStyle w:val="BodyText"/>
      </w:pPr>
      <w:r>
        <w:t>We used our dispute resolution principles in the Equal Opportunity Act as guidance for the goals of our services, including that we seek to ensure:</w:t>
      </w:r>
    </w:p>
    <w:p w:rsidR="0024051E" w:rsidRDefault="0024051E" w:rsidP="007063DF">
      <w:pPr>
        <w:pStyle w:val="ListBullet"/>
      </w:pPr>
      <w:r>
        <w:t>we provide dispute resolution as early as possible</w:t>
      </w:r>
    </w:p>
    <w:p w:rsidR="0024051E" w:rsidRDefault="0024051E" w:rsidP="007063DF">
      <w:pPr>
        <w:pStyle w:val="ListBullet"/>
      </w:pPr>
      <w:r>
        <w:t>we provide tailored and flexible dispute resolution services</w:t>
      </w:r>
    </w:p>
    <w:p w:rsidR="0024051E" w:rsidRDefault="0024051E" w:rsidP="007063DF">
      <w:pPr>
        <w:pStyle w:val="ListBullet"/>
      </w:pPr>
      <w:r>
        <w:t>the dispute resolution process is fair to all parties</w:t>
      </w:r>
    </w:p>
    <w:p w:rsidR="0024051E" w:rsidRDefault="0024051E" w:rsidP="007063DF">
      <w:pPr>
        <w:pStyle w:val="ListBullet"/>
      </w:pPr>
      <w:r>
        <w:t>dispute resolution is voluntary</w:t>
      </w:r>
    </w:p>
    <w:p w:rsidR="0024051E" w:rsidRDefault="0024051E" w:rsidP="007063DF">
      <w:pPr>
        <w:pStyle w:val="ListBullet"/>
      </w:pPr>
      <w:r>
        <w:t>dispute resolution is consistent with objectives of the Act.</w:t>
      </w:r>
    </w:p>
    <w:p w:rsidR="0024051E" w:rsidRDefault="0024051E" w:rsidP="00CF3E72">
      <w:pPr>
        <w:pStyle w:val="BodyText"/>
      </w:pPr>
      <w:r>
        <w:t xml:space="preserve">The review identified a number of efficiencies to improve our service delivery. Following the review, the Commission increased staffing levels to the dispute resolution team, leading to a significant improvement in the amount of complaints the Commission is able to allocate and resolve efficiently. </w:t>
      </w:r>
    </w:p>
    <w:p w:rsidR="0024051E" w:rsidRDefault="0024051E" w:rsidP="00CF3E72">
      <w:pPr>
        <w:pStyle w:val="BodyText"/>
      </w:pPr>
      <w:r>
        <w:lastRenderedPageBreak/>
        <w:t>The Commission has commenced a number of new pilots to trial changes to our service, including a greater focus on early dispute resolution. Our goal is to ensure that our dispute resolution service continues to be best practice, as efficient as it can be, and that access is simple and effective.</w:t>
      </w:r>
    </w:p>
    <w:p w:rsidR="0024051E" w:rsidRDefault="0024051E" w:rsidP="00CF3E72">
      <w:pPr>
        <w:pStyle w:val="BodyText"/>
      </w:pPr>
      <w:r>
        <w:t>The Commission’s dispute resolution service is not just about resolving complaints, it is also an opportunity to achieve more systemic change, for example, through educating workplaces on their legal obligations, or facilitating changes to policies and practices for a sporting club, school, government department or hospital. </w:t>
      </w:r>
    </w:p>
    <w:p w:rsidR="0024051E" w:rsidRDefault="0024051E" w:rsidP="00CF3E72">
      <w:pPr>
        <w:pStyle w:val="BodyText"/>
      </w:pPr>
      <w:r>
        <w:t>The experiences we hear about are varied – but consistent across them is the serious impact of discrimination and harassment. The outcomes vary also, from financial compensation to an apology or training being provided in workplaces. There are examples of the complaints we receive throughout this report.</w:t>
      </w:r>
    </w:p>
    <w:p w:rsidR="0024051E" w:rsidRDefault="0024051E" w:rsidP="007063DF">
      <w:pPr>
        <w:pStyle w:val="Heading3"/>
      </w:pPr>
      <w:r>
        <w:t>Complaints</w:t>
      </w:r>
    </w:p>
    <w:p w:rsidR="0024051E" w:rsidRDefault="0024051E" w:rsidP="00CF3E72">
      <w:pPr>
        <w:pStyle w:val="BodyText"/>
      </w:pPr>
      <w:r>
        <w:t>The Commission records data on the number of complainants who request access to the dispute resolution service. A complaint file is created for each complainant. A complaint file may contain a number of different complaint issues (for example, a complaint file might include an issue of sexual harassment in the workplace, as well as discrimination on the basis of race). </w:t>
      </w:r>
    </w:p>
    <w:p w:rsidR="0024051E" w:rsidRDefault="0024051E" w:rsidP="00CF3E72">
      <w:pPr>
        <w:pStyle w:val="BodyText"/>
      </w:pPr>
      <w:r>
        <w:t>The Commission finalised 910 complaint files in 2018–19, including some files that were opened in the previous financial year. While there was a slight drop in the number of issues raised by complainants this year, figures have remained steady and indicate similar patterns for the type and nature of complaints. The most complaints were again about disability discrimination, with 595 complaints being recorded. The next most common area of complaint was race, followed by sex and sexual harassment.</w:t>
      </w:r>
    </w:p>
    <w:p w:rsidR="0024051E" w:rsidRDefault="0024051E" w:rsidP="00485D7B">
      <w:pPr>
        <w:pStyle w:val="Heading5"/>
      </w:pPr>
      <w:r>
        <w:t xml:space="preserve">Over the past three years, the Commission received the following number of </w:t>
      </w:r>
      <w:r w:rsidR="007063DF">
        <w:br/>
      </w:r>
      <w:r>
        <w:t>complaint files:</w:t>
      </w:r>
    </w:p>
    <w:p w:rsidR="0024051E" w:rsidRDefault="0024051E" w:rsidP="00CF3E72">
      <w:pPr>
        <w:pStyle w:val="BodyText"/>
      </w:pPr>
      <w:r w:rsidRPr="007063DF">
        <w:rPr>
          <w:rStyle w:val="Characterbold"/>
          <w:lang w:eastAsia="en-US"/>
        </w:rPr>
        <w:t>2016–17</w:t>
      </w:r>
      <w:r>
        <w:tab/>
        <w:t>748 files raising 1906 issues</w:t>
      </w:r>
    </w:p>
    <w:p w:rsidR="0024051E" w:rsidRDefault="0024051E" w:rsidP="00CF3E72">
      <w:pPr>
        <w:pStyle w:val="BodyText"/>
      </w:pPr>
      <w:r w:rsidRPr="007063DF">
        <w:rPr>
          <w:rStyle w:val="Characterbold"/>
          <w:lang w:eastAsia="en-US"/>
        </w:rPr>
        <w:t>2017–18</w:t>
      </w:r>
      <w:r>
        <w:tab/>
        <w:t>908 files raising 2246 issues</w:t>
      </w:r>
    </w:p>
    <w:p w:rsidR="0024051E" w:rsidRDefault="0024051E" w:rsidP="00CF3E72">
      <w:pPr>
        <w:pStyle w:val="BodyText"/>
      </w:pPr>
      <w:r w:rsidRPr="007063DF">
        <w:rPr>
          <w:rStyle w:val="Characterbold"/>
          <w:lang w:eastAsia="en-US"/>
        </w:rPr>
        <w:t>2018–19</w:t>
      </w:r>
      <w:r>
        <w:tab/>
        <w:t>890 files raising 1877 issues</w:t>
      </w:r>
    </w:p>
    <w:p w:rsidR="0024051E" w:rsidRDefault="0024051E" w:rsidP="00CF3E72">
      <w:pPr>
        <w:pStyle w:val="BodyText"/>
      </w:pPr>
      <w:r>
        <w:t>The Commission finalised 76 per cent of complaint files within six months of receipt. Of all complaint files finalised, 35.7 per cent were resolved. Finalised files also consist of those withdrawn by complainant or respondent and where dispute resolution was not offered. Where conciliation was attempted 64 per cent were resolved. A customer satisfaction rating of 96 per cent was achieved.</w:t>
      </w:r>
    </w:p>
    <w:p w:rsidR="0024051E" w:rsidRPr="00485D7B" w:rsidRDefault="0024051E" w:rsidP="009E1664">
      <w:pPr>
        <w:pStyle w:val="Heading5"/>
      </w:pPr>
      <w:r w:rsidRPr="00485D7B">
        <w:t>10 most common attributes of complaint under the Equal Opportunity Act and Racial and Religious Tolerance Act for 2018–19</w:t>
      </w: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020" w:firstRow="1" w:lastRow="0" w:firstColumn="0" w:lastColumn="0" w:noHBand="0" w:noVBand="0"/>
      </w:tblPr>
      <w:tblGrid>
        <w:gridCol w:w="3146"/>
        <w:gridCol w:w="1171"/>
      </w:tblGrid>
      <w:tr w:rsidR="0024051E" w:rsidRPr="009549EF" w:rsidTr="009549EF">
        <w:trPr>
          <w:trHeight w:val="300"/>
        </w:trPr>
        <w:tc>
          <w:tcPr>
            <w:tcW w:w="3146" w:type="dxa"/>
            <w:tcBorders>
              <w:top w:val="single" w:sz="4" w:space="0" w:color="000000"/>
              <w:left w:val="single" w:sz="4" w:space="0" w:color="000000"/>
              <w:bottom w:val="single" w:sz="4" w:space="0" w:color="000000"/>
              <w:right w:val="nil"/>
            </w:tcBorders>
            <w:shd w:val="clear" w:color="auto" w:fill="000000"/>
          </w:tcPr>
          <w:p w:rsidR="0024051E" w:rsidRPr="009549EF" w:rsidRDefault="0024051E" w:rsidP="009E1664">
            <w:pPr>
              <w:pStyle w:val="BodyText"/>
              <w:rPr>
                <w:b/>
                <w:bCs/>
                <w:color w:val="FFFFFF"/>
              </w:rPr>
            </w:pPr>
            <w:r w:rsidRPr="009549EF">
              <w:rPr>
                <w:b/>
                <w:bCs/>
                <w:color w:val="FFFFFF"/>
              </w:rPr>
              <w:t>Attribute</w:t>
            </w:r>
          </w:p>
        </w:tc>
        <w:tc>
          <w:tcPr>
            <w:tcW w:w="1171" w:type="dxa"/>
            <w:tcBorders>
              <w:top w:val="single" w:sz="4" w:space="0" w:color="000000"/>
              <w:left w:val="nil"/>
              <w:bottom w:val="single" w:sz="4" w:space="0" w:color="000000"/>
              <w:right w:val="single" w:sz="4" w:space="0" w:color="000000"/>
            </w:tcBorders>
            <w:shd w:val="clear" w:color="auto" w:fill="000000"/>
          </w:tcPr>
          <w:p w:rsidR="0024051E" w:rsidRPr="009549EF" w:rsidRDefault="0024051E" w:rsidP="009E1664">
            <w:pPr>
              <w:pStyle w:val="BodyText"/>
              <w:rPr>
                <w:b/>
                <w:bCs/>
                <w:color w:val="FFFFFF"/>
              </w:rPr>
            </w:pPr>
            <w:r w:rsidRPr="009549EF">
              <w:rPr>
                <w:b/>
                <w:bCs/>
                <w:color w:val="FFFFFF"/>
              </w:rPr>
              <w:t>Total</w:t>
            </w:r>
          </w:p>
        </w:tc>
      </w:tr>
      <w:tr w:rsidR="0024051E" w:rsidRPr="009549EF" w:rsidTr="00C30441">
        <w:trPr>
          <w:trHeight w:val="255"/>
        </w:trPr>
        <w:tc>
          <w:tcPr>
            <w:tcW w:w="3146" w:type="dxa"/>
            <w:shd w:val="clear" w:color="auto" w:fill="FFFFFF" w:themeFill="background1"/>
          </w:tcPr>
          <w:p w:rsidR="0024051E" w:rsidRDefault="0024051E" w:rsidP="009E1664">
            <w:pPr>
              <w:pStyle w:val="BodyText"/>
            </w:pPr>
            <w:r w:rsidRPr="00485D7B">
              <w:t>Disability</w:t>
            </w:r>
          </w:p>
        </w:tc>
        <w:tc>
          <w:tcPr>
            <w:tcW w:w="1171" w:type="dxa"/>
            <w:shd w:val="clear" w:color="auto" w:fill="FFFFFF" w:themeFill="background1"/>
          </w:tcPr>
          <w:p w:rsidR="0024051E" w:rsidRDefault="0024051E" w:rsidP="009E1664">
            <w:pPr>
              <w:pStyle w:val="BodyText"/>
            </w:pPr>
            <w:r w:rsidRPr="00485D7B">
              <w:t>595</w:t>
            </w:r>
          </w:p>
        </w:tc>
      </w:tr>
      <w:tr w:rsidR="00C30441" w:rsidRPr="009549EF" w:rsidTr="00C30441">
        <w:trPr>
          <w:trHeight w:val="255"/>
        </w:trPr>
        <w:tc>
          <w:tcPr>
            <w:tcW w:w="3146" w:type="dxa"/>
            <w:shd w:val="clear" w:color="auto" w:fill="FFFFFF" w:themeFill="background1"/>
          </w:tcPr>
          <w:p w:rsidR="0024051E" w:rsidRDefault="0024051E" w:rsidP="009E1664">
            <w:pPr>
              <w:pStyle w:val="BodyText"/>
            </w:pPr>
            <w:r w:rsidRPr="00485D7B">
              <w:t>Race</w:t>
            </w:r>
          </w:p>
        </w:tc>
        <w:tc>
          <w:tcPr>
            <w:tcW w:w="1171" w:type="dxa"/>
            <w:shd w:val="clear" w:color="auto" w:fill="FFFFFF" w:themeFill="background1"/>
          </w:tcPr>
          <w:p w:rsidR="0024051E" w:rsidRDefault="0024051E" w:rsidP="009E1664">
            <w:pPr>
              <w:pStyle w:val="BodyText"/>
            </w:pPr>
            <w:r w:rsidRPr="00485D7B">
              <w:t>188</w:t>
            </w:r>
          </w:p>
        </w:tc>
      </w:tr>
      <w:tr w:rsidR="0024051E" w:rsidRPr="009549EF" w:rsidTr="00C30441">
        <w:trPr>
          <w:trHeight w:val="255"/>
        </w:trPr>
        <w:tc>
          <w:tcPr>
            <w:tcW w:w="3146" w:type="dxa"/>
            <w:shd w:val="clear" w:color="auto" w:fill="FFFFFF" w:themeFill="background1"/>
          </w:tcPr>
          <w:p w:rsidR="0024051E" w:rsidRDefault="0024051E" w:rsidP="009E1664">
            <w:pPr>
              <w:pStyle w:val="BodyText"/>
            </w:pPr>
            <w:r w:rsidRPr="00485D7B">
              <w:lastRenderedPageBreak/>
              <w:t>Sex</w:t>
            </w:r>
          </w:p>
        </w:tc>
        <w:tc>
          <w:tcPr>
            <w:tcW w:w="1171" w:type="dxa"/>
            <w:shd w:val="clear" w:color="auto" w:fill="FFFFFF" w:themeFill="background1"/>
          </w:tcPr>
          <w:p w:rsidR="0024051E" w:rsidRDefault="0024051E" w:rsidP="009E1664">
            <w:pPr>
              <w:pStyle w:val="BodyText"/>
            </w:pPr>
            <w:r w:rsidRPr="00485D7B">
              <w:t>169</w:t>
            </w:r>
          </w:p>
        </w:tc>
      </w:tr>
      <w:tr w:rsidR="00C30441" w:rsidRPr="009549EF" w:rsidTr="00C30441">
        <w:trPr>
          <w:trHeight w:val="255"/>
        </w:trPr>
        <w:tc>
          <w:tcPr>
            <w:tcW w:w="3146" w:type="dxa"/>
            <w:shd w:val="clear" w:color="auto" w:fill="FFFFFF" w:themeFill="background1"/>
          </w:tcPr>
          <w:p w:rsidR="0024051E" w:rsidRDefault="0024051E" w:rsidP="009E1664">
            <w:pPr>
              <w:pStyle w:val="BodyText"/>
            </w:pPr>
            <w:r w:rsidRPr="00485D7B">
              <w:t>Sexual harassment</w:t>
            </w:r>
          </w:p>
        </w:tc>
        <w:tc>
          <w:tcPr>
            <w:tcW w:w="1171" w:type="dxa"/>
            <w:shd w:val="clear" w:color="auto" w:fill="FFFFFF" w:themeFill="background1"/>
          </w:tcPr>
          <w:p w:rsidR="0024051E" w:rsidRDefault="0024051E" w:rsidP="009E1664">
            <w:pPr>
              <w:pStyle w:val="BodyText"/>
            </w:pPr>
            <w:r w:rsidRPr="00485D7B">
              <w:t>122</w:t>
            </w:r>
          </w:p>
        </w:tc>
      </w:tr>
      <w:tr w:rsidR="0024051E" w:rsidRPr="009549EF" w:rsidTr="00C30441">
        <w:trPr>
          <w:trHeight w:val="255"/>
        </w:trPr>
        <w:tc>
          <w:tcPr>
            <w:tcW w:w="3146" w:type="dxa"/>
            <w:shd w:val="clear" w:color="auto" w:fill="FFFFFF" w:themeFill="background1"/>
          </w:tcPr>
          <w:p w:rsidR="0024051E" w:rsidRDefault="0024051E" w:rsidP="009E1664">
            <w:pPr>
              <w:pStyle w:val="BodyText"/>
            </w:pPr>
            <w:r w:rsidRPr="00485D7B">
              <w:t>Employment activity</w:t>
            </w:r>
          </w:p>
        </w:tc>
        <w:tc>
          <w:tcPr>
            <w:tcW w:w="1171" w:type="dxa"/>
            <w:shd w:val="clear" w:color="auto" w:fill="FFFFFF" w:themeFill="background1"/>
          </w:tcPr>
          <w:p w:rsidR="0024051E" w:rsidRDefault="0024051E" w:rsidP="009E1664">
            <w:pPr>
              <w:pStyle w:val="BodyText"/>
            </w:pPr>
            <w:r w:rsidRPr="00485D7B">
              <w:t>115</w:t>
            </w:r>
          </w:p>
        </w:tc>
      </w:tr>
      <w:tr w:rsidR="00C30441" w:rsidRPr="009549EF" w:rsidTr="00C30441">
        <w:trPr>
          <w:trHeight w:val="255"/>
        </w:trPr>
        <w:tc>
          <w:tcPr>
            <w:tcW w:w="3146" w:type="dxa"/>
            <w:shd w:val="clear" w:color="auto" w:fill="FFFFFF" w:themeFill="background1"/>
          </w:tcPr>
          <w:p w:rsidR="0024051E" w:rsidRDefault="0024051E" w:rsidP="009E1664">
            <w:pPr>
              <w:pStyle w:val="BodyText"/>
            </w:pPr>
            <w:r w:rsidRPr="00485D7B">
              <w:t>Age</w:t>
            </w:r>
          </w:p>
        </w:tc>
        <w:tc>
          <w:tcPr>
            <w:tcW w:w="1171" w:type="dxa"/>
            <w:shd w:val="clear" w:color="auto" w:fill="FFFFFF" w:themeFill="background1"/>
          </w:tcPr>
          <w:p w:rsidR="0024051E" w:rsidRDefault="0024051E" w:rsidP="009E1664">
            <w:pPr>
              <w:pStyle w:val="BodyText"/>
            </w:pPr>
            <w:r w:rsidRPr="00485D7B">
              <w:t>100</w:t>
            </w:r>
          </w:p>
        </w:tc>
      </w:tr>
      <w:tr w:rsidR="0024051E" w:rsidRPr="009549EF" w:rsidTr="00C30441">
        <w:trPr>
          <w:trHeight w:val="255"/>
        </w:trPr>
        <w:tc>
          <w:tcPr>
            <w:tcW w:w="3146" w:type="dxa"/>
            <w:shd w:val="clear" w:color="auto" w:fill="FFFFFF" w:themeFill="background1"/>
          </w:tcPr>
          <w:p w:rsidR="0024051E" w:rsidRDefault="0024051E" w:rsidP="009E1664">
            <w:pPr>
              <w:pStyle w:val="BodyText"/>
            </w:pPr>
            <w:r w:rsidRPr="00485D7B">
              <w:t>Carer status</w:t>
            </w:r>
          </w:p>
        </w:tc>
        <w:tc>
          <w:tcPr>
            <w:tcW w:w="1171" w:type="dxa"/>
            <w:shd w:val="clear" w:color="auto" w:fill="FFFFFF" w:themeFill="background1"/>
          </w:tcPr>
          <w:p w:rsidR="0024051E" w:rsidRDefault="0024051E" w:rsidP="009E1664">
            <w:pPr>
              <w:pStyle w:val="BodyText"/>
            </w:pPr>
            <w:r w:rsidRPr="00485D7B">
              <w:t>81</w:t>
            </w:r>
          </w:p>
        </w:tc>
      </w:tr>
      <w:tr w:rsidR="00C30441" w:rsidRPr="009549EF" w:rsidTr="00C30441">
        <w:trPr>
          <w:trHeight w:val="255"/>
        </w:trPr>
        <w:tc>
          <w:tcPr>
            <w:tcW w:w="3146" w:type="dxa"/>
            <w:shd w:val="clear" w:color="auto" w:fill="FFFFFF" w:themeFill="background1"/>
          </w:tcPr>
          <w:p w:rsidR="0024051E" w:rsidRDefault="0024051E" w:rsidP="009E1664">
            <w:pPr>
              <w:pStyle w:val="BodyText"/>
            </w:pPr>
            <w:r w:rsidRPr="00485D7B">
              <w:t>Parental Status</w:t>
            </w:r>
          </w:p>
        </w:tc>
        <w:tc>
          <w:tcPr>
            <w:tcW w:w="1171" w:type="dxa"/>
            <w:shd w:val="clear" w:color="auto" w:fill="FFFFFF" w:themeFill="background1"/>
          </w:tcPr>
          <w:p w:rsidR="0024051E" w:rsidRDefault="0024051E" w:rsidP="009E1664">
            <w:pPr>
              <w:pStyle w:val="BodyText"/>
            </w:pPr>
            <w:r w:rsidRPr="00485D7B">
              <w:t>68</w:t>
            </w:r>
          </w:p>
        </w:tc>
      </w:tr>
      <w:tr w:rsidR="0024051E" w:rsidRPr="009549EF" w:rsidTr="00C30441">
        <w:trPr>
          <w:trHeight w:val="255"/>
        </w:trPr>
        <w:tc>
          <w:tcPr>
            <w:tcW w:w="3146" w:type="dxa"/>
            <w:shd w:val="clear" w:color="auto" w:fill="FFFFFF" w:themeFill="background1"/>
          </w:tcPr>
          <w:p w:rsidR="0024051E" w:rsidRDefault="0024051E" w:rsidP="009E1664">
            <w:pPr>
              <w:pStyle w:val="BodyText"/>
            </w:pPr>
            <w:r w:rsidRPr="00485D7B">
              <w:t>Religious belief/activity</w:t>
            </w:r>
          </w:p>
        </w:tc>
        <w:tc>
          <w:tcPr>
            <w:tcW w:w="1171" w:type="dxa"/>
            <w:shd w:val="clear" w:color="auto" w:fill="FFFFFF" w:themeFill="background1"/>
          </w:tcPr>
          <w:p w:rsidR="0024051E" w:rsidRDefault="0024051E" w:rsidP="009E1664">
            <w:pPr>
              <w:pStyle w:val="BodyText"/>
            </w:pPr>
            <w:r w:rsidRPr="00485D7B">
              <w:t>56</w:t>
            </w:r>
          </w:p>
        </w:tc>
      </w:tr>
      <w:tr w:rsidR="00C30441" w:rsidRPr="009549EF" w:rsidTr="00C30441">
        <w:trPr>
          <w:trHeight w:val="255"/>
        </w:trPr>
        <w:tc>
          <w:tcPr>
            <w:tcW w:w="3146" w:type="dxa"/>
            <w:shd w:val="clear" w:color="auto" w:fill="FFFFFF" w:themeFill="background1"/>
          </w:tcPr>
          <w:p w:rsidR="0024051E" w:rsidRDefault="0024051E" w:rsidP="009E1664">
            <w:pPr>
              <w:pStyle w:val="BodyText"/>
            </w:pPr>
            <w:r w:rsidRPr="00485D7B">
              <w:t>Physical features</w:t>
            </w:r>
          </w:p>
        </w:tc>
        <w:tc>
          <w:tcPr>
            <w:tcW w:w="1171" w:type="dxa"/>
            <w:shd w:val="clear" w:color="auto" w:fill="FFFFFF" w:themeFill="background1"/>
          </w:tcPr>
          <w:p w:rsidR="0024051E" w:rsidRDefault="0024051E" w:rsidP="009E1664">
            <w:pPr>
              <w:pStyle w:val="BodyText"/>
            </w:pPr>
            <w:r w:rsidRPr="00485D7B">
              <w:t>39</w:t>
            </w:r>
          </w:p>
        </w:tc>
      </w:tr>
    </w:tbl>
    <w:p w:rsidR="0024051E" w:rsidRDefault="0024051E" w:rsidP="00CF3E72">
      <w:pPr>
        <w:pStyle w:val="BodyText"/>
      </w:pPr>
    </w:p>
    <w:tbl>
      <w:tblPr>
        <w:tblW w:w="0" w:type="auto"/>
        <w:tblLook w:val="04A0" w:firstRow="1" w:lastRow="0" w:firstColumn="1" w:lastColumn="0" w:noHBand="0" w:noVBand="1"/>
      </w:tblPr>
      <w:tblGrid>
        <w:gridCol w:w="9286"/>
      </w:tblGrid>
      <w:tr w:rsidR="009E1664" w:rsidRPr="009549EF" w:rsidTr="009549EF">
        <w:tc>
          <w:tcPr>
            <w:tcW w:w="9286" w:type="dxa"/>
            <w:shd w:val="clear" w:color="auto" w:fill="BDD6EE"/>
          </w:tcPr>
          <w:p w:rsidR="009E1664" w:rsidRPr="009549EF" w:rsidRDefault="009E1664" w:rsidP="009E1664">
            <w:pPr>
              <w:pStyle w:val="Heading3"/>
              <w:rPr>
                <w:lang w:val="en-US"/>
              </w:rPr>
            </w:pPr>
            <w:r w:rsidRPr="009549EF">
              <w:rPr>
                <w:lang w:val="en-US"/>
              </w:rPr>
              <w:t>Disability discrimination</w:t>
            </w:r>
          </w:p>
          <w:p w:rsidR="009E1664" w:rsidRPr="009549EF" w:rsidRDefault="009E1664" w:rsidP="009E1664">
            <w:pPr>
              <w:pStyle w:val="BodyText"/>
              <w:rPr>
                <w:lang w:val="en-US"/>
              </w:rPr>
            </w:pPr>
            <w:r w:rsidRPr="009549EF">
              <w:rPr>
                <w:lang w:val="en-US"/>
              </w:rPr>
              <w:t xml:space="preserve">A woman who is legally blind wanted to undertake a legal transcriptionist course via an online education provider. While the course is suitable for people who are blind, the initial enrolment test is not and requires people to have another person (friend or family) to assist them with the test. The woman did not have anyone to assist her and said that even if she did she should be able to do this independently. She made a complaint to the Commission and through the conciliation process the course provider agreed to change the enrolment test for people with visual impairments to be assisted with an audio tape. </w:t>
            </w:r>
          </w:p>
        </w:tc>
      </w:tr>
    </w:tbl>
    <w:p w:rsidR="009E1664" w:rsidRDefault="009E1664" w:rsidP="00CF3E72">
      <w:pPr>
        <w:pStyle w:val="BodyText"/>
      </w:pPr>
    </w:p>
    <w:tbl>
      <w:tblPr>
        <w:tblW w:w="0" w:type="auto"/>
        <w:tblLook w:val="04A0" w:firstRow="1" w:lastRow="0" w:firstColumn="1" w:lastColumn="0" w:noHBand="0" w:noVBand="1"/>
      </w:tblPr>
      <w:tblGrid>
        <w:gridCol w:w="9286"/>
      </w:tblGrid>
      <w:tr w:rsidR="009E1664" w:rsidRPr="009549EF" w:rsidTr="009549EF">
        <w:tc>
          <w:tcPr>
            <w:tcW w:w="9286" w:type="dxa"/>
            <w:shd w:val="clear" w:color="auto" w:fill="BDD6EE"/>
          </w:tcPr>
          <w:p w:rsidR="009E1664" w:rsidRPr="009549EF" w:rsidRDefault="009E1664" w:rsidP="009E1664">
            <w:pPr>
              <w:pStyle w:val="Heading3"/>
              <w:rPr>
                <w:lang w:val="en-US"/>
              </w:rPr>
            </w:pPr>
            <w:r w:rsidRPr="009549EF">
              <w:rPr>
                <w:lang w:val="en-US"/>
              </w:rPr>
              <w:t>Race discrimination</w:t>
            </w:r>
          </w:p>
          <w:p w:rsidR="009E1664" w:rsidRPr="009549EF" w:rsidRDefault="009E1664" w:rsidP="009E1664">
            <w:pPr>
              <w:pStyle w:val="BodyText"/>
              <w:rPr>
                <w:lang w:val="en-US"/>
              </w:rPr>
            </w:pPr>
            <w:r w:rsidRPr="009549EF">
              <w:rPr>
                <w:lang w:val="en-US"/>
              </w:rPr>
              <w:t>An Indian woman made a complaint alleging she had to endure repeated racist insults and bullying from a colleague. She alleged that person said ‘these people think that they can come to this country and tell me what to do’ and also ‘I do not want to speak to any Indians’. The woman made two internal complaints about the colleague, and said she did not receive any feedback. After the complaints were made, the colleague would walk past the woman’s desk and say ‘something smells terrible around here’. The respondent said that they took all the complainant’s complaints seriously and spent time and resources investigating the complaints. They agreed to participate in conciliation and the complaint was resolved with an agreement that the respondent pay $15,000 compensation.</w:t>
            </w:r>
          </w:p>
        </w:tc>
      </w:tr>
    </w:tbl>
    <w:p w:rsidR="009E1664" w:rsidRDefault="009E1664" w:rsidP="00CF3E72">
      <w:pPr>
        <w:pStyle w:val="BodyText"/>
      </w:pPr>
    </w:p>
    <w:tbl>
      <w:tblPr>
        <w:tblW w:w="0" w:type="auto"/>
        <w:tblLook w:val="04A0" w:firstRow="1" w:lastRow="0" w:firstColumn="1" w:lastColumn="0" w:noHBand="0" w:noVBand="1"/>
      </w:tblPr>
      <w:tblGrid>
        <w:gridCol w:w="9286"/>
      </w:tblGrid>
      <w:tr w:rsidR="009E1664" w:rsidRPr="009549EF" w:rsidTr="009549EF">
        <w:tc>
          <w:tcPr>
            <w:tcW w:w="9286" w:type="dxa"/>
            <w:shd w:val="clear" w:color="auto" w:fill="BDD6EE"/>
          </w:tcPr>
          <w:p w:rsidR="009E1664" w:rsidRPr="009549EF" w:rsidRDefault="009E1664" w:rsidP="009E1664">
            <w:pPr>
              <w:pStyle w:val="Heading3"/>
              <w:rPr>
                <w:lang w:val="en-US"/>
              </w:rPr>
            </w:pPr>
            <w:r w:rsidRPr="009549EF">
              <w:rPr>
                <w:lang w:val="en-US"/>
              </w:rPr>
              <w:lastRenderedPageBreak/>
              <w:t xml:space="preserve">Age and gender discrimination </w:t>
            </w:r>
          </w:p>
          <w:p w:rsidR="009E1664" w:rsidRPr="009549EF" w:rsidRDefault="009E1664" w:rsidP="00CF3E72">
            <w:pPr>
              <w:pStyle w:val="BodyText"/>
              <w:rPr>
                <w:lang w:val="en-US"/>
              </w:rPr>
            </w:pPr>
            <w:r w:rsidRPr="009549EF">
              <w:rPr>
                <w:lang w:val="en-US"/>
              </w:rPr>
              <w:t>A woman working for a public authority alleged she was subject to discrimination and unfavourable treatment due to her age and gender. She said her manager said he wished she would hurry up and retire, and that there were too many women in the office and on their team. The complainant said that she felt undervalued and excluded by these comments. The public authority agreed to attend conciliation at the Commission to resolve the complaint. The complaint was resolved with an agreement that the public authority pay the complainant $50,000 in compensation.</w:t>
            </w:r>
          </w:p>
        </w:tc>
      </w:tr>
    </w:tbl>
    <w:p w:rsidR="009E1664" w:rsidRDefault="009E1664" w:rsidP="00CF3E72">
      <w:pPr>
        <w:pStyle w:val="BodyText"/>
      </w:pPr>
    </w:p>
    <w:p w:rsidR="0024051E" w:rsidRDefault="0024051E" w:rsidP="007063DF">
      <w:pPr>
        <w:pStyle w:val="Heading3"/>
      </w:pPr>
      <w:r>
        <w:t>Restorative justice scheme</w:t>
      </w:r>
    </w:p>
    <w:p w:rsidR="0024051E" w:rsidRDefault="0024051E" w:rsidP="00CF3E72">
      <w:pPr>
        <w:pStyle w:val="BodyText"/>
      </w:pPr>
      <w:r>
        <w:t xml:space="preserve">The first recommendation of the </w:t>
      </w:r>
      <w:r w:rsidRPr="00485D7B">
        <w:rPr>
          <w:rStyle w:val="Characteritalic"/>
          <w:lang w:eastAsia="en-US"/>
        </w:rPr>
        <w:t>Independent review into sex discrimination and sexual harassment, including predatory behaviour in Victoria Police – Phase 1 report</w:t>
      </w:r>
      <w:r>
        <w:t>, released in late 2015, was for a restorative engagement initiative and reparation scheme to be established. </w:t>
      </w:r>
    </w:p>
    <w:p w:rsidR="0024051E" w:rsidRDefault="0024051E" w:rsidP="00CF3E72">
      <w:pPr>
        <w:pStyle w:val="BodyText"/>
      </w:pPr>
      <w:r>
        <w:t xml:space="preserve">The Commission entered into an arrangement with Victoria Police to establish an interim restorative engagement scheme to resolve complaints about sex discrimination and sexual harassment. This scheme operated as a modified version of the Commission’s existing dispute resolution service and offered victims/survivors an immediate restorative engagement pathway, one not contingent on the full scheme called for in Recommendation 1 being operational. </w:t>
      </w:r>
    </w:p>
    <w:p w:rsidR="0024051E" w:rsidRDefault="0024051E" w:rsidP="00CF3E72">
      <w:pPr>
        <w:pStyle w:val="BodyText"/>
      </w:pPr>
      <w:r>
        <w:t xml:space="preserve">The interim restorative engagement scheme is open to current and former employees of Victoria Police who have experienced sex discrimination and/or sexual harassment. Eligibility is broad and based on whether a person’s account is plausible. A formal complaint under the Equal Opportunity Act is not needed. Victoria Police and the complainant agree to conciliate the matter at the Commission. As part of the process, a senior representative of Victoria Police attends the conciliation. Following restorative engagement principles, the Commission facilitates a process of learning and acknowledgement over two sessions. </w:t>
      </w:r>
    </w:p>
    <w:p w:rsidR="0024051E" w:rsidRDefault="0024051E" w:rsidP="00CF3E72">
      <w:pPr>
        <w:pStyle w:val="BodyText"/>
      </w:pPr>
      <w:r>
        <w:t>In the first session, the complainant, a Victoria Police representative and a conciliator come together in a safe, facilitated environment, in which the complainant shares what has happened to them and seeks verbal acknowledgement of the harm experienced and an apology. After allowing time for reflection and healing, the parties come together again to reach a mutually acceptable resolution. Common outcomes include a written statement of regret, reinstatement of leave and payment of medical expenses and compensation.</w:t>
      </w:r>
    </w:p>
    <w:p w:rsidR="0024051E" w:rsidRDefault="0024051E" w:rsidP="00485D7B">
      <w:pPr>
        <w:pStyle w:val="Heading5"/>
      </w:pPr>
      <w:r>
        <w:t>Of the 33 complaints received by the Commission, 32 were made by women and one by a man. The most common issues raised in those complaints were:</w:t>
      </w:r>
    </w:p>
    <w:p w:rsidR="0024051E" w:rsidRDefault="0024051E" w:rsidP="007063DF">
      <w:pPr>
        <w:pStyle w:val="ListBullet"/>
      </w:pPr>
      <w:r>
        <w:t>sex discrimination (27 complaints, or 81.8 per cent of the complaints received)</w:t>
      </w:r>
    </w:p>
    <w:p w:rsidR="0024051E" w:rsidRDefault="0024051E" w:rsidP="007063DF">
      <w:pPr>
        <w:pStyle w:val="ListBullet"/>
      </w:pPr>
      <w:r>
        <w:t xml:space="preserve">sexual harassment (25 complaints or 75.8 per cent) </w:t>
      </w:r>
    </w:p>
    <w:p w:rsidR="0024051E" w:rsidRDefault="0024051E" w:rsidP="007063DF">
      <w:pPr>
        <w:pStyle w:val="ListBullet"/>
      </w:pPr>
      <w:r>
        <w:t>victimisation (15 complaints or 45.5 per cent).</w:t>
      </w:r>
    </w:p>
    <w:p w:rsidR="0024051E" w:rsidRDefault="0024051E" w:rsidP="00CF3E72">
      <w:pPr>
        <w:pStyle w:val="BodyText"/>
      </w:pPr>
      <w:r>
        <w:t xml:space="preserve">Other issues raised were discrimination on the basis of sexual orientation, parental or carer status and pregnancy. Of the complainants who participated in the scheme, 14 </w:t>
      </w:r>
      <w:r>
        <w:lastRenderedPageBreak/>
        <w:t xml:space="preserve">received compensation, 11 received a statement of regret, four had entitlements reinstated and one was transferred to another work location. </w:t>
      </w:r>
    </w:p>
    <w:p w:rsidR="0024051E" w:rsidRDefault="0024051E" w:rsidP="007063DF">
      <w:pPr>
        <w:pStyle w:val="Heading3"/>
      </w:pPr>
      <w:r>
        <w:t>Information service and enquiries</w:t>
      </w:r>
    </w:p>
    <w:p w:rsidR="0024051E" w:rsidRDefault="0024051E" w:rsidP="00CF3E72">
      <w:pPr>
        <w:pStyle w:val="BodyText"/>
      </w:pPr>
      <w:r>
        <w:t>The Commission provides an information service that manages phone, email, webchat, written and in-person enquiries about the Equal Opportunity Act, the Racial and Religious Tolerance Act and the application of the Charter. We also provide individuals and organisations with a range of printed materials that provide information and guidance on the legislation.</w:t>
      </w:r>
    </w:p>
    <w:p w:rsidR="0024051E" w:rsidRDefault="0024051E" w:rsidP="00CF3E72">
      <w:pPr>
        <w:pStyle w:val="BodyText"/>
      </w:pPr>
      <w:r>
        <w:t>In 2018–19, the Commission received 8297 enquiries from people, raising 9868 issues of discrimination. This is a slight decrease on the previous year, partly explained by improved delivery of information about our services to reduce the number of enquiries out of our jurisdiction. Enquiries about religious belief or activity have increased by 21 per cent, which is the highest number of enquiries in a three-year period. Enquiries about criminal records, discriminatory advertisements, employment activity and lawful sexual activity all increased in 2018–19, while sexual harassment and sexual orientation both dropped slightly from last year, when there were higher numbers due to public conversations during the marriage equality debate and the #MeToo movement.</w:t>
      </w:r>
    </w:p>
    <w:p w:rsidR="0024051E" w:rsidRDefault="0024051E" w:rsidP="00485D7B">
      <w:pPr>
        <w:pStyle w:val="Heading5"/>
      </w:pPr>
      <w:r>
        <w:t>In the past three years, the Commission received:</w:t>
      </w:r>
    </w:p>
    <w:p w:rsidR="0024051E" w:rsidRDefault="0024051E" w:rsidP="00CF3E72">
      <w:pPr>
        <w:pStyle w:val="BodyText"/>
      </w:pPr>
      <w:r w:rsidRPr="007063DF">
        <w:rPr>
          <w:rStyle w:val="Characterbold"/>
          <w:lang w:eastAsia="en-US"/>
        </w:rPr>
        <w:t>2016–17</w:t>
      </w:r>
      <w:r>
        <w:tab/>
        <w:t>8278 enquiries raising 11,210 issues</w:t>
      </w:r>
    </w:p>
    <w:p w:rsidR="0024051E" w:rsidRDefault="0024051E" w:rsidP="00CF3E72">
      <w:pPr>
        <w:pStyle w:val="BodyText"/>
      </w:pPr>
      <w:r w:rsidRPr="007063DF">
        <w:rPr>
          <w:rStyle w:val="Characterbold"/>
          <w:lang w:eastAsia="en-US"/>
        </w:rPr>
        <w:t>2017–18</w:t>
      </w:r>
      <w:r>
        <w:tab/>
        <w:t>8585 enquiries raising 10,675 issues</w:t>
      </w:r>
    </w:p>
    <w:p w:rsidR="0024051E" w:rsidRDefault="0024051E" w:rsidP="00CF3E72">
      <w:pPr>
        <w:pStyle w:val="BodyText"/>
      </w:pPr>
      <w:r w:rsidRPr="007063DF">
        <w:rPr>
          <w:rStyle w:val="Characterbold"/>
          <w:lang w:eastAsia="en-US"/>
        </w:rPr>
        <w:t>2018–19</w:t>
      </w:r>
      <w:r>
        <w:tab/>
        <w:t>8297 enquiries raising 9868 issues</w:t>
      </w:r>
    </w:p>
    <w:p w:rsidR="0024051E" w:rsidRDefault="0024051E" w:rsidP="00CF3E72">
      <w:pPr>
        <w:pStyle w:val="BodyText"/>
      </w:pPr>
      <w:r>
        <w:t>In response to direct requests from individuals and organisations, the Commission distributed more than 6000 pieces of printed material in 2018–19, including brochures on discrimination, postcards, magnets, badges, guidelines and research reports.</w:t>
      </w:r>
    </w:p>
    <w:p w:rsidR="0024051E" w:rsidRPr="00485D7B" w:rsidRDefault="0024051E" w:rsidP="009E1664">
      <w:pPr>
        <w:pStyle w:val="Heading5"/>
      </w:pPr>
      <w:r w:rsidRPr="00485D7B">
        <w:t>10 most common issues raised from enquiries</w:t>
      </w: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020" w:firstRow="1" w:lastRow="0" w:firstColumn="0" w:lastColumn="0" w:noHBand="0" w:noVBand="0"/>
      </w:tblPr>
      <w:tblGrid>
        <w:gridCol w:w="2730"/>
        <w:gridCol w:w="1224"/>
      </w:tblGrid>
      <w:tr w:rsidR="0024051E" w:rsidRPr="009549EF" w:rsidTr="009549EF">
        <w:trPr>
          <w:trHeight w:val="518"/>
        </w:trPr>
        <w:tc>
          <w:tcPr>
            <w:tcW w:w="2730" w:type="dxa"/>
            <w:tcBorders>
              <w:top w:val="single" w:sz="4" w:space="0" w:color="000000"/>
              <w:left w:val="single" w:sz="4" w:space="0" w:color="000000"/>
              <w:bottom w:val="single" w:sz="4" w:space="0" w:color="000000"/>
              <w:right w:val="nil"/>
            </w:tcBorders>
            <w:shd w:val="clear" w:color="auto" w:fill="000000"/>
          </w:tcPr>
          <w:p w:rsidR="0024051E" w:rsidRPr="009549EF" w:rsidRDefault="0024051E" w:rsidP="009E1664">
            <w:pPr>
              <w:pStyle w:val="BodyText"/>
              <w:rPr>
                <w:b/>
                <w:bCs/>
                <w:color w:val="FFFFFF"/>
              </w:rPr>
            </w:pPr>
            <w:r w:rsidRPr="009549EF">
              <w:rPr>
                <w:b/>
                <w:bCs/>
                <w:color w:val="FFFFFF"/>
              </w:rPr>
              <w:t>Issue</w:t>
            </w:r>
          </w:p>
        </w:tc>
        <w:tc>
          <w:tcPr>
            <w:tcW w:w="1224" w:type="dxa"/>
            <w:tcBorders>
              <w:top w:val="single" w:sz="4" w:space="0" w:color="000000"/>
              <w:left w:val="nil"/>
              <w:bottom w:val="single" w:sz="4" w:space="0" w:color="000000"/>
              <w:right w:val="single" w:sz="4" w:space="0" w:color="000000"/>
            </w:tcBorders>
            <w:shd w:val="clear" w:color="auto" w:fill="000000"/>
          </w:tcPr>
          <w:p w:rsidR="0024051E" w:rsidRPr="009549EF" w:rsidRDefault="0024051E" w:rsidP="009E1664">
            <w:pPr>
              <w:pStyle w:val="BodyText"/>
              <w:rPr>
                <w:b/>
                <w:bCs/>
                <w:color w:val="FFFFFF"/>
              </w:rPr>
            </w:pPr>
            <w:r w:rsidRPr="009549EF">
              <w:rPr>
                <w:b/>
                <w:bCs/>
                <w:color w:val="FFFFFF"/>
              </w:rPr>
              <w:t>2018–19</w:t>
            </w:r>
          </w:p>
        </w:tc>
      </w:tr>
      <w:tr w:rsidR="0024051E" w:rsidRPr="009549EF" w:rsidTr="00C30441">
        <w:trPr>
          <w:trHeight w:val="255"/>
        </w:trPr>
        <w:tc>
          <w:tcPr>
            <w:tcW w:w="2730" w:type="dxa"/>
            <w:shd w:val="clear" w:color="auto" w:fill="FFFFFF" w:themeFill="background1"/>
          </w:tcPr>
          <w:p w:rsidR="0024051E" w:rsidRDefault="0024051E" w:rsidP="009E1664">
            <w:pPr>
              <w:pStyle w:val="BodyText"/>
            </w:pPr>
            <w:r w:rsidRPr="00485D7B">
              <w:t>Disability</w:t>
            </w:r>
          </w:p>
        </w:tc>
        <w:tc>
          <w:tcPr>
            <w:tcW w:w="1224" w:type="dxa"/>
            <w:shd w:val="clear" w:color="auto" w:fill="FFFFFF" w:themeFill="background1"/>
          </w:tcPr>
          <w:p w:rsidR="0024051E" w:rsidRDefault="0024051E" w:rsidP="009E1664">
            <w:pPr>
              <w:pStyle w:val="BodyText"/>
            </w:pPr>
            <w:r w:rsidRPr="00485D7B">
              <w:t>1710</w:t>
            </w:r>
          </w:p>
        </w:tc>
      </w:tr>
      <w:tr w:rsidR="00C30441" w:rsidRPr="009549EF" w:rsidTr="00C30441">
        <w:trPr>
          <w:trHeight w:val="255"/>
        </w:trPr>
        <w:tc>
          <w:tcPr>
            <w:tcW w:w="2730" w:type="dxa"/>
            <w:shd w:val="clear" w:color="auto" w:fill="FFFFFF" w:themeFill="background1"/>
          </w:tcPr>
          <w:p w:rsidR="0024051E" w:rsidRDefault="0024051E" w:rsidP="009E1664">
            <w:pPr>
              <w:pStyle w:val="BodyText"/>
            </w:pPr>
            <w:r w:rsidRPr="00485D7B">
              <w:t>No jurisdiction</w:t>
            </w:r>
          </w:p>
        </w:tc>
        <w:tc>
          <w:tcPr>
            <w:tcW w:w="1224" w:type="dxa"/>
            <w:shd w:val="clear" w:color="auto" w:fill="FFFFFF" w:themeFill="background1"/>
          </w:tcPr>
          <w:p w:rsidR="0024051E" w:rsidRDefault="0024051E" w:rsidP="009E1664">
            <w:pPr>
              <w:pStyle w:val="BodyText"/>
            </w:pPr>
            <w:r w:rsidRPr="00485D7B">
              <w:t>1137</w:t>
            </w:r>
          </w:p>
        </w:tc>
      </w:tr>
      <w:tr w:rsidR="0024051E" w:rsidRPr="009549EF" w:rsidTr="00C30441">
        <w:trPr>
          <w:trHeight w:val="255"/>
        </w:trPr>
        <w:tc>
          <w:tcPr>
            <w:tcW w:w="2730" w:type="dxa"/>
            <w:shd w:val="clear" w:color="auto" w:fill="FFFFFF" w:themeFill="background1"/>
          </w:tcPr>
          <w:p w:rsidR="0024051E" w:rsidRDefault="0024051E" w:rsidP="009E1664">
            <w:pPr>
              <w:pStyle w:val="BodyText"/>
            </w:pPr>
            <w:r w:rsidRPr="00485D7B">
              <w:t>Race</w:t>
            </w:r>
          </w:p>
        </w:tc>
        <w:tc>
          <w:tcPr>
            <w:tcW w:w="1224" w:type="dxa"/>
            <w:shd w:val="clear" w:color="auto" w:fill="FFFFFF" w:themeFill="background1"/>
          </w:tcPr>
          <w:p w:rsidR="0024051E" w:rsidRDefault="0024051E" w:rsidP="009E1664">
            <w:pPr>
              <w:pStyle w:val="BodyText"/>
            </w:pPr>
            <w:r w:rsidRPr="00485D7B">
              <w:t>607</w:t>
            </w:r>
          </w:p>
        </w:tc>
      </w:tr>
      <w:tr w:rsidR="00C30441" w:rsidRPr="009549EF" w:rsidTr="00C30441">
        <w:trPr>
          <w:trHeight w:val="255"/>
        </w:trPr>
        <w:tc>
          <w:tcPr>
            <w:tcW w:w="2730" w:type="dxa"/>
            <w:shd w:val="clear" w:color="auto" w:fill="FFFFFF" w:themeFill="background1"/>
          </w:tcPr>
          <w:p w:rsidR="0024051E" w:rsidRDefault="0024051E" w:rsidP="009E1664">
            <w:pPr>
              <w:pStyle w:val="BodyText"/>
            </w:pPr>
            <w:r w:rsidRPr="00485D7B">
              <w:t>Sex</w:t>
            </w:r>
          </w:p>
        </w:tc>
        <w:tc>
          <w:tcPr>
            <w:tcW w:w="1224" w:type="dxa"/>
            <w:shd w:val="clear" w:color="auto" w:fill="FFFFFF" w:themeFill="background1"/>
          </w:tcPr>
          <w:p w:rsidR="0024051E" w:rsidRDefault="0024051E" w:rsidP="009E1664">
            <w:pPr>
              <w:pStyle w:val="BodyText"/>
            </w:pPr>
            <w:r w:rsidRPr="00485D7B">
              <w:t>418</w:t>
            </w:r>
          </w:p>
        </w:tc>
      </w:tr>
      <w:tr w:rsidR="0024051E" w:rsidRPr="009549EF" w:rsidTr="00C30441">
        <w:trPr>
          <w:trHeight w:val="255"/>
        </w:trPr>
        <w:tc>
          <w:tcPr>
            <w:tcW w:w="2730" w:type="dxa"/>
            <w:shd w:val="clear" w:color="auto" w:fill="FFFFFF" w:themeFill="background1"/>
          </w:tcPr>
          <w:p w:rsidR="0024051E" w:rsidRDefault="0024051E" w:rsidP="009E1664">
            <w:pPr>
              <w:pStyle w:val="BodyText"/>
            </w:pPr>
            <w:r w:rsidRPr="00485D7B">
              <w:t xml:space="preserve">Sexual harassment </w:t>
            </w:r>
          </w:p>
        </w:tc>
        <w:tc>
          <w:tcPr>
            <w:tcW w:w="1224" w:type="dxa"/>
            <w:shd w:val="clear" w:color="auto" w:fill="FFFFFF" w:themeFill="background1"/>
          </w:tcPr>
          <w:p w:rsidR="0024051E" w:rsidRDefault="0024051E" w:rsidP="009E1664">
            <w:pPr>
              <w:pStyle w:val="BodyText"/>
            </w:pPr>
            <w:r w:rsidRPr="00485D7B">
              <w:t>374</w:t>
            </w:r>
          </w:p>
        </w:tc>
      </w:tr>
      <w:tr w:rsidR="00C30441" w:rsidRPr="009549EF" w:rsidTr="00C30441">
        <w:trPr>
          <w:trHeight w:val="255"/>
        </w:trPr>
        <w:tc>
          <w:tcPr>
            <w:tcW w:w="2730" w:type="dxa"/>
            <w:shd w:val="clear" w:color="auto" w:fill="FFFFFF" w:themeFill="background1"/>
          </w:tcPr>
          <w:p w:rsidR="0024051E" w:rsidRDefault="0024051E" w:rsidP="009E1664">
            <w:pPr>
              <w:pStyle w:val="BodyText"/>
            </w:pPr>
            <w:r w:rsidRPr="00485D7B">
              <w:t>Age</w:t>
            </w:r>
          </w:p>
        </w:tc>
        <w:tc>
          <w:tcPr>
            <w:tcW w:w="1224" w:type="dxa"/>
            <w:shd w:val="clear" w:color="auto" w:fill="FFFFFF" w:themeFill="background1"/>
          </w:tcPr>
          <w:p w:rsidR="0024051E" w:rsidRDefault="0024051E" w:rsidP="009E1664">
            <w:pPr>
              <w:pStyle w:val="BodyText"/>
            </w:pPr>
            <w:r w:rsidRPr="00485D7B">
              <w:t>331</w:t>
            </w:r>
          </w:p>
        </w:tc>
      </w:tr>
      <w:tr w:rsidR="0024051E" w:rsidRPr="009549EF" w:rsidTr="00C30441">
        <w:trPr>
          <w:trHeight w:val="255"/>
        </w:trPr>
        <w:tc>
          <w:tcPr>
            <w:tcW w:w="2730" w:type="dxa"/>
            <w:shd w:val="clear" w:color="auto" w:fill="FFFFFF" w:themeFill="background1"/>
          </w:tcPr>
          <w:p w:rsidR="0024051E" w:rsidRDefault="0024051E" w:rsidP="009E1664">
            <w:pPr>
              <w:pStyle w:val="BodyText"/>
            </w:pPr>
            <w:r w:rsidRPr="00485D7B">
              <w:t>Employment activity</w:t>
            </w:r>
          </w:p>
        </w:tc>
        <w:tc>
          <w:tcPr>
            <w:tcW w:w="1224" w:type="dxa"/>
            <w:shd w:val="clear" w:color="auto" w:fill="FFFFFF" w:themeFill="background1"/>
          </w:tcPr>
          <w:p w:rsidR="0024051E" w:rsidRDefault="0024051E" w:rsidP="009E1664">
            <w:pPr>
              <w:pStyle w:val="BodyText"/>
            </w:pPr>
            <w:r w:rsidRPr="00485D7B">
              <w:t>303</w:t>
            </w:r>
          </w:p>
        </w:tc>
      </w:tr>
      <w:tr w:rsidR="00C30441" w:rsidRPr="009549EF" w:rsidTr="00C30441">
        <w:trPr>
          <w:trHeight w:val="518"/>
        </w:trPr>
        <w:tc>
          <w:tcPr>
            <w:tcW w:w="2730" w:type="dxa"/>
            <w:shd w:val="clear" w:color="auto" w:fill="FFFFFF" w:themeFill="background1"/>
          </w:tcPr>
          <w:p w:rsidR="0024051E" w:rsidRDefault="0024051E" w:rsidP="009E1664">
            <w:pPr>
              <w:pStyle w:val="BodyText"/>
            </w:pPr>
            <w:r w:rsidRPr="00485D7B">
              <w:t xml:space="preserve">Victimisation </w:t>
            </w:r>
          </w:p>
        </w:tc>
        <w:tc>
          <w:tcPr>
            <w:tcW w:w="1224" w:type="dxa"/>
            <w:shd w:val="clear" w:color="auto" w:fill="FFFFFF" w:themeFill="background1"/>
          </w:tcPr>
          <w:p w:rsidR="0024051E" w:rsidRDefault="0024051E" w:rsidP="009E1664">
            <w:pPr>
              <w:pStyle w:val="BodyText"/>
            </w:pPr>
            <w:r w:rsidRPr="00485D7B">
              <w:t>292</w:t>
            </w:r>
          </w:p>
        </w:tc>
      </w:tr>
      <w:tr w:rsidR="0024051E" w:rsidRPr="009549EF" w:rsidTr="00C30441">
        <w:trPr>
          <w:trHeight w:val="518"/>
        </w:trPr>
        <w:tc>
          <w:tcPr>
            <w:tcW w:w="2730" w:type="dxa"/>
            <w:shd w:val="clear" w:color="auto" w:fill="FFFFFF" w:themeFill="background1"/>
          </w:tcPr>
          <w:p w:rsidR="0024051E" w:rsidRDefault="0024051E" w:rsidP="009E1664">
            <w:pPr>
              <w:pStyle w:val="BodyText"/>
            </w:pPr>
            <w:r w:rsidRPr="00485D7B">
              <w:lastRenderedPageBreak/>
              <w:t>Parental status</w:t>
            </w:r>
          </w:p>
        </w:tc>
        <w:tc>
          <w:tcPr>
            <w:tcW w:w="1224" w:type="dxa"/>
            <w:shd w:val="clear" w:color="auto" w:fill="FFFFFF" w:themeFill="background1"/>
          </w:tcPr>
          <w:p w:rsidR="0024051E" w:rsidRDefault="0024051E" w:rsidP="009E1664">
            <w:pPr>
              <w:pStyle w:val="BodyText"/>
            </w:pPr>
            <w:r w:rsidRPr="00485D7B">
              <w:t>230</w:t>
            </w:r>
          </w:p>
        </w:tc>
      </w:tr>
      <w:tr w:rsidR="00C30441" w:rsidRPr="009549EF" w:rsidTr="00C30441">
        <w:trPr>
          <w:trHeight w:val="255"/>
        </w:trPr>
        <w:tc>
          <w:tcPr>
            <w:tcW w:w="2730" w:type="dxa"/>
            <w:shd w:val="clear" w:color="auto" w:fill="FFFFFF" w:themeFill="background1"/>
          </w:tcPr>
          <w:p w:rsidR="0024051E" w:rsidRDefault="0024051E" w:rsidP="009E1664">
            <w:pPr>
              <w:pStyle w:val="BodyText"/>
            </w:pPr>
            <w:r w:rsidRPr="00485D7B">
              <w:t>Carer status</w:t>
            </w:r>
          </w:p>
        </w:tc>
        <w:tc>
          <w:tcPr>
            <w:tcW w:w="1224" w:type="dxa"/>
            <w:shd w:val="clear" w:color="auto" w:fill="FFFFFF" w:themeFill="background1"/>
          </w:tcPr>
          <w:p w:rsidR="0024051E" w:rsidRDefault="0024051E" w:rsidP="009E1664">
            <w:pPr>
              <w:pStyle w:val="BodyText"/>
            </w:pPr>
            <w:r w:rsidRPr="00485D7B">
              <w:t>207</w:t>
            </w:r>
          </w:p>
        </w:tc>
      </w:tr>
    </w:tbl>
    <w:p w:rsidR="0024051E" w:rsidRDefault="0024051E" w:rsidP="00CF3E72">
      <w:pPr>
        <w:pStyle w:val="BodyText"/>
      </w:pPr>
      <w:r>
        <w:t>Detailed data on enquiries and complaints can be found in the Appendix.</w:t>
      </w:r>
    </w:p>
    <w:p w:rsidR="0024051E" w:rsidRDefault="0024051E" w:rsidP="007063DF">
      <w:pPr>
        <w:pStyle w:val="Heading2"/>
      </w:pPr>
      <w:bookmarkStart w:id="10" w:name="_Toc21701401"/>
      <w:r>
        <w:t>Research</w:t>
      </w:r>
      <w:bookmarkEnd w:id="10"/>
    </w:p>
    <w:p w:rsidR="0024051E" w:rsidRDefault="0024051E" w:rsidP="009E1664">
      <w:pPr>
        <w:pStyle w:val="BodyText"/>
      </w:pPr>
      <w:r>
        <w:t>We undertake research and policy work to understand and find solutions to systemic causes of discrimination and human rights breaches.</w:t>
      </w:r>
    </w:p>
    <w:p w:rsidR="0024051E" w:rsidRDefault="0024051E" w:rsidP="007063DF">
      <w:pPr>
        <w:pStyle w:val="Heading3"/>
      </w:pPr>
      <w:r>
        <w:t>Independent review into sex discrimination and sexual harassment, including predatory behaviour, in Victoria Police</w:t>
      </w:r>
    </w:p>
    <w:p w:rsidR="0024051E" w:rsidRDefault="0024051E" w:rsidP="007063DF">
      <w:pPr>
        <w:pStyle w:val="Heading4"/>
      </w:pPr>
      <w:r>
        <w:t>Phase 3 audit and review</w:t>
      </w:r>
    </w:p>
    <w:p w:rsidR="0024051E" w:rsidRDefault="0024051E" w:rsidP="00CF3E72">
      <w:pPr>
        <w:pStyle w:val="BodyText"/>
      </w:pPr>
      <w:r>
        <w:t>Five years ago, the Commission was approached by Victoria Police to investigate the nature, prevalence, drivers and impact of sex discrimination and sexual harassment, including predatory behaviour, in their organisation. There were several important motivators for this work, but one of the critical questions for Victoria Police was: ‘How can we effectively respond to family and gendered violence if our own organisation is not a safe place for women to come to work?’</w:t>
      </w:r>
    </w:p>
    <w:p w:rsidR="0024051E" w:rsidRDefault="0024051E" w:rsidP="00CF3E72">
      <w:pPr>
        <w:pStyle w:val="BodyText"/>
      </w:pPr>
      <w:r>
        <w:t>Victoria Police, as one of the state’s largest employers, is a microcosm of social, cultural and economic structures, and the story of women in Victoria Police is in many ways tainted by long-standing sex discrimination, inequality and gendered abuse of power. Over the course of five years, the Commission has spent thousands of hours in conversation with women who have been sidelined, denigrated and disrespected in the workplace. We have also seen the organisation develop a deeper understanding of what gender equality looks like and how to embed it.</w:t>
      </w:r>
    </w:p>
    <w:p w:rsidR="0024051E" w:rsidRDefault="0024051E" w:rsidP="00CF3E72">
      <w:pPr>
        <w:pStyle w:val="BodyText"/>
      </w:pPr>
      <w:r>
        <w:t xml:space="preserve">Throughout 2018–19 the Commission worked on the third and final phase of the independent review. </w:t>
      </w:r>
    </w:p>
    <w:p w:rsidR="0024051E" w:rsidRDefault="0024051E" w:rsidP="00485D7B">
      <w:pPr>
        <w:pStyle w:val="Heading5"/>
      </w:pPr>
      <w:r>
        <w:t>Phase 3 assesses:</w:t>
      </w:r>
    </w:p>
    <w:p w:rsidR="0024051E" w:rsidRDefault="0024051E" w:rsidP="007063DF">
      <w:pPr>
        <w:pStyle w:val="ListBullet"/>
      </w:pPr>
      <w:r>
        <w:t>the progress Victoria Police has made in implementing the 20 recommendations that the Commission made in the phase 1 report</w:t>
      </w:r>
    </w:p>
    <w:p w:rsidR="0024051E" w:rsidRDefault="0024051E" w:rsidP="007063DF">
      <w:pPr>
        <w:pStyle w:val="ListBullet"/>
      </w:pPr>
      <w:r>
        <w:t>the state of gender equality in Victoria Police in 2018 and identifies areas where it still needs to improve in order to embed gender equality by 2030.</w:t>
      </w:r>
    </w:p>
    <w:p w:rsidR="0024051E" w:rsidRDefault="0024051E" w:rsidP="00CF3E72">
      <w:pPr>
        <w:pStyle w:val="BodyText"/>
      </w:pPr>
      <w:r>
        <w:t>The Commission intends for the phase 3 report to equip Victoria Police with robust evidence, guidance and recommendations to take this important work forward on its own. The phase 3 audit was released in August 2019.</w:t>
      </w:r>
    </w:p>
    <w:tbl>
      <w:tblPr>
        <w:tblW w:w="0" w:type="auto"/>
        <w:tblLook w:val="04A0" w:firstRow="1" w:lastRow="0" w:firstColumn="1" w:lastColumn="0" w:noHBand="0" w:noVBand="1"/>
      </w:tblPr>
      <w:tblGrid>
        <w:gridCol w:w="9286"/>
      </w:tblGrid>
      <w:tr w:rsidR="009E1664" w:rsidRPr="009549EF" w:rsidTr="009549EF">
        <w:tc>
          <w:tcPr>
            <w:tcW w:w="9286" w:type="dxa"/>
            <w:shd w:val="clear" w:color="auto" w:fill="C5E0B3"/>
          </w:tcPr>
          <w:p w:rsidR="009E1664" w:rsidRPr="009549EF" w:rsidRDefault="009E1664" w:rsidP="009E1664">
            <w:pPr>
              <w:pStyle w:val="Heading3"/>
              <w:rPr>
                <w:lang w:val="en-US"/>
              </w:rPr>
            </w:pPr>
            <w:r w:rsidRPr="009549EF">
              <w:rPr>
                <w:lang w:val="en-US"/>
              </w:rPr>
              <w:lastRenderedPageBreak/>
              <w:t>The change so far</w:t>
            </w:r>
          </w:p>
          <w:p w:rsidR="009E1664" w:rsidRPr="009549EF" w:rsidRDefault="009E1664" w:rsidP="009E1664">
            <w:pPr>
              <w:pStyle w:val="BodyText"/>
              <w:rPr>
                <w:lang w:val="en-US"/>
              </w:rPr>
            </w:pPr>
            <w:r w:rsidRPr="009549EF">
              <w:rPr>
                <w:lang w:val="en-US"/>
              </w:rPr>
              <w:t>Previous work on the review has resulted in key changes to embed gender equality in Victoria Police, including:</w:t>
            </w:r>
          </w:p>
          <w:p w:rsidR="009E1664" w:rsidRPr="009549EF" w:rsidRDefault="009E1664" w:rsidP="009E1664">
            <w:pPr>
              <w:pStyle w:val="ListBullet"/>
              <w:rPr>
                <w:lang w:val="en-US"/>
              </w:rPr>
            </w:pPr>
            <w:r w:rsidRPr="009549EF">
              <w:rPr>
                <w:lang w:val="en-US"/>
              </w:rPr>
              <w:t>a new parental leave backfill scheme</w:t>
            </w:r>
          </w:p>
          <w:p w:rsidR="009E1664" w:rsidRPr="009549EF" w:rsidRDefault="009E1664" w:rsidP="009E1664">
            <w:pPr>
              <w:pStyle w:val="ListBullet"/>
              <w:rPr>
                <w:lang w:val="en-US"/>
              </w:rPr>
            </w:pPr>
            <w:r w:rsidRPr="009549EF">
              <w:rPr>
                <w:lang w:val="en-US"/>
              </w:rPr>
              <w:t>a policy of ‘all-roles flex’</w:t>
            </w:r>
          </w:p>
          <w:p w:rsidR="009E1664" w:rsidRPr="009549EF" w:rsidRDefault="009E1664" w:rsidP="009E1664">
            <w:pPr>
              <w:pStyle w:val="ListBullet"/>
              <w:rPr>
                <w:lang w:val="en-US"/>
              </w:rPr>
            </w:pPr>
            <w:r w:rsidRPr="009549EF">
              <w:rPr>
                <w:lang w:val="en-US"/>
              </w:rPr>
              <w:t>specialist units to respond to experiences of workplace harm</w:t>
            </w:r>
          </w:p>
          <w:p w:rsidR="009E1664" w:rsidRPr="009549EF" w:rsidRDefault="009E1664" w:rsidP="009E1664">
            <w:pPr>
              <w:pStyle w:val="ListBullet"/>
              <w:rPr>
                <w:lang w:val="en-US"/>
              </w:rPr>
            </w:pPr>
            <w:r w:rsidRPr="009549EF">
              <w:rPr>
                <w:lang w:val="en-US"/>
              </w:rPr>
              <w:t>better access to promotional and progression training for employees, regardless of their location or work pattern</w:t>
            </w:r>
          </w:p>
          <w:p w:rsidR="009E1664" w:rsidRPr="009549EF" w:rsidRDefault="009E1664" w:rsidP="009E1664">
            <w:pPr>
              <w:pStyle w:val="ListBullet"/>
              <w:rPr>
                <w:lang w:val="en-US"/>
              </w:rPr>
            </w:pPr>
            <w:r w:rsidRPr="009549EF">
              <w:rPr>
                <w:lang w:val="en-US"/>
              </w:rPr>
              <w:t>increased leadership opportunities for women across the organisation</w:t>
            </w:r>
          </w:p>
          <w:p w:rsidR="009E1664" w:rsidRPr="009549EF" w:rsidRDefault="009E1664" w:rsidP="00CF3E72">
            <w:pPr>
              <w:pStyle w:val="ListBullet"/>
              <w:rPr>
                <w:lang w:val="en-US"/>
              </w:rPr>
            </w:pPr>
            <w:r w:rsidRPr="009549EF">
              <w:rPr>
                <w:lang w:val="en-US"/>
              </w:rPr>
              <w:t>new forums to provide women with a key strategic voice in the organisation reduced risks of workplace for recruits during training.</w:t>
            </w:r>
          </w:p>
        </w:tc>
      </w:tr>
    </w:tbl>
    <w:p w:rsidR="0024051E" w:rsidRDefault="0024051E" w:rsidP="007063DF">
      <w:pPr>
        <w:pStyle w:val="Heading4"/>
      </w:pPr>
      <w:r>
        <w:t>Proud, visible, safe: Responding to workplace harm experienced by LGBTI employees in Victoria Police</w:t>
      </w:r>
    </w:p>
    <w:p w:rsidR="0024051E" w:rsidRDefault="0024051E" w:rsidP="00CF3E72">
      <w:pPr>
        <w:pStyle w:val="BodyText"/>
      </w:pPr>
      <w:r>
        <w:t xml:space="preserve">In May 2019, Victoria Police and the Victorian Equal Opportunity and Human Rights Commission released </w:t>
      </w:r>
      <w:r w:rsidRPr="00485D7B">
        <w:rPr>
          <w:rStyle w:val="Characteritalic"/>
          <w:lang w:eastAsia="en-US"/>
        </w:rPr>
        <w:t>Proud, visible, safe</w:t>
      </w:r>
      <w:r>
        <w:t>, a report examining the experiences of LGBTIQ employees at Victoria Police in May 2019. The report was launched at a community event at Footscray Police Station to celebrate the International Day against Homophobia, Biphobia, Intersexism and Transphobia (IDAHOBIT) on 17 May.</w:t>
      </w:r>
    </w:p>
    <w:p w:rsidR="0024051E" w:rsidRDefault="0024051E" w:rsidP="00CF3E72">
      <w:pPr>
        <w:pStyle w:val="BodyText"/>
      </w:pPr>
      <w:r>
        <w:t>In the report, Victoria Police employees describe a hypermasculine and heteronormative culture that normalises homophobic attitudes and feeds rigid stereotypes about LGBTIQ employees in some workplaces. The report finds that Victoria Police is committed to building an organisational culture that is safe for LGBTIQ employees – but that it still has work to do.</w:t>
      </w:r>
    </w:p>
    <w:p w:rsidR="0024051E" w:rsidRDefault="0024051E" w:rsidP="00CF3E72">
      <w:pPr>
        <w:pStyle w:val="BodyText"/>
      </w:pPr>
      <w:r>
        <w:t xml:space="preserve">The report recommends that Victoria Police adopts measures to strengthen its responses to workplace harm against LGBTIQ employees, including by providing clear and consistent pathways for reporting harm, appropriate training for staff and the importance of strong and visible leadership on LGBTIQ issues. </w:t>
      </w:r>
    </w:p>
    <w:p w:rsidR="0024051E" w:rsidRDefault="0024051E" w:rsidP="00CF3E72">
      <w:pPr>
        <w:pStyle w:val="BodyText"/>
      </w:pPr>
      <w:r w:rsidRPr="00485D7B">
        <w:rPr>
          <w:rStyle w:val="Characteritalic"/>
          <w:lang w:eastAsia="en-US"/>
        </w:rPr>
        <w:t>Proud, visible, safe</w:t>
      </w:r>
      <w:r>
        <w:t xml:space="preserve"> continues the Commission’s work with Victoria Police to address sex discrimination and sexual harassment, including predatory behaviour, in the organisation.</w:t>
      </w:r>
    </w:p>
    <w:tbl>
      <w:tblPr>
        <w:tblW w:w="0" w:type="auto"/>
        <w:tblLook w:val="04A0" w:firstRow="1" w:lastRow="0" w:firstColumn="1" w:lastColumn="0" w:noHBand="0" w:noVBand="1"/>
      </w:tblPr>
      <w:tblGrid>
        <w:gridCol w:w="9286"/>
      </w:tblGrid>
      <w:tr w:rsidR="009E1664" w:rsidRPr="009549EF" w:rsidTr="009549EF">
        <w:tc>
          <w:tcPr>
            <w:tcW w:w="9286" w:type="dxa"/>
            <w:shd w:val="clear" w:color="auto" w:fill="BDD6EE"/>
          </w:tcPr>
          <w:p w:rsidR="009E1664" w:rsidRPr="009549EF" w:rsidRDefault="009E1664" w:rsidP="009E1664">
            <w:pPr>
              <w:pStyle w:val="Heading3"/>
              <w:rPr>
                <w:lang w:val="en-US"/>
              </w:rPr>
            </w:pPr>
            <w:r w:rsidRPr="009549EF">
              <w:rPr>
                <w:lang w:val="en-US"/>
              </w:rPr>
              <w:lastRenderedPageBreak/>
              <w:t>Stories from Victoria Police</w:t>
            </w:r>
          </w:p>
          <w:p w:rsidR="009E1664" w:rsidRPr="009549EF" w:rsidRDefault="009E1664" w:rsidP="009E1664">
            <w:pPr>
              <w:pStyle w:val="BodyText"/>
              <w:rPr>
                <w:lang w:val="en-US"/>
              </w:rPr>
            </w:pPr>
            <w:r w:rsidRPr="009549EF">
              <w:rPr>
                <w:lang w:val="en-US"/>
              </w:rPr>
              <w:t>‘There have been other men in the organisation that have been ‘out’ for longer than I have, and their experiences have been very poor. Because I came ‘out’ as a Sergeant, I had the advantage of rank, but if you’re a Constable ‘out’ in the 1980s it’s harder. Some of them have had terrible physical treatment.’</w:t>
            </w:r>
          </w:p>
          <w:p w:rsidR="009E1664" w:rsidRPr="009549EF" w:rsidRDefault="009E1664" w:rsidP="009E1664">
            <w:pPr>
              <w:pStyle w:val="BodyText"/>
              <w:rPr>
                <w:lang w:val="en-US"/>
              </w:rPr>
            </w:pPr>
            <w:r w:rsidRPr="009549EF">
              <w:rPr>
                <w:lang w:val="en-US"/>
              </w:rPr>
              <w:t>‘When I first joined Victoria Police in 1996, there was an underlying homophobic culture. I believe this was probably a reflection of some of the community’s views also. It would have been extremely difficult to be gay in Victoria Police back then. It took some brave individuals to come ‘out’ and try to change the culture of Victoria Police.’</w:t>
            </w:r>
          </w:p>
          <w:p w:rsidR="009E1664" w:rsidRPr="009549EF" w:rsidRDefault="009E1664" w:rsidP="009E1664">
            <w:pPr>
              <w:pStyle w:val="BodyText"/>
              <w:rPr>
                <w:lang w:val="en-US"/>
              </w:rPr>
            </w:pPr>
            <w:r w:rsidRPr="009549EF">
              <w:rPr>
                <w:lang w:val="en-US"/>
              </w:rPr>
              <w:t xml:space="preserve">‘From 2013 the organisation has really progressed, it has made significant inroads to make LGBTI a focus area. For example, there is the LGBTI Portfolio within Priority Communities Division. Victoria Police has also participated in Pride in Diversity starting in 2014, through AWEI [the Australian Workplace Equality Index]. It has been a journey of inclusion.’ </w:t>
            </w:r>
          </w:p>
        </w:tc>
      </w:tr>
    </w:tbl>
    <w:p w:rsidR="0024051E" w:rsidRDefault="0024051E" w:rsidP="007063DF">
      <w:pPr>
        <w:pStyle w:val="Heading3"/>
      </w:pPr>
      <w:r>
        <w:t>Practice Guidance: Understanding your rights in the workplace and Victorian anti-discrimination law</w:t>
      </w:r>
    </w:p>
    <w:p w:rsidR="0024051E" w:rsidRDefault="0024051E" w:rsidP="00CF3E72">
      <w:pPr>
        <w:pStyle w:val="BodyText"/>
      </w:pPr>
      <w:r>
        <w:t>The Victorian Equal Opportunity and Human Rights Commission partnered with Our Watch to develop this resource to help employees better understand their legal rights to protection from discrimination, sexual harassment and victimisation, and to a safe and healthy workplace.</w:t>
      </w:r>
    </w:p>
    <w:p w:rsidR="0024051E" w:rsidRDefault="0024051E" w:rsidP="00CF3E72">
      <w:pPr>
        <w:pStyle w:val="BodyText"/>
      </w:pPr>
      <w:r w:rsidRPr="00485D7B">
        <w:rPr>
          <w:rStyle w:val="Characteritalic"/>
          <w:lang w:eastAsia="en-US"/>
        </w:rPr>
        <w:t>Practice Guidance: Understanding your rights in the workplace and Victorian anti-discrimination law</w:t>
      </w:r>
      <w:r>
        <w:t xml:space="preserve"> supports workplaces to implement standards set as part of the Workplace Equality and Respect project that was funded by the Victorian Government and led by Our Watch. The Workplace Equality and Respect project is a broader piece of work that aims to equip Victorian workplaces with the knowledge, skills and resources they need to create gender equitable structures, norms and practices. </w:t>
      </w:r>
    </w:p>
    <w:p w:rsidR="0024051E" w:rsidRDefault="0024051E" w:rsidP="007063DF">
      <w:pPr>
        <w:pStyle w:val="Heading3"/>
      </w:pPr>
      <w:r>
        <w:t>Aboriginal cultural rights in youth justice centres</w:t>
      </w:r>
    </w:p>
    <w:p w:rsidR="0024051E" w:rsidRDefault="0024051E" w:rsidP="00CF3E72">
      <w:pPr>
        <w:pStyle w:val="BodyText"/>
      </w:pPr>
      <w:r>
        <w:t xml:space="preserve">In July 2018, the Commission, together with the Commission for Children and Young People, published </w:t>
      </w:r>
      <w:r w:rsidRPr="00485D7B">
        <w:rPr>
          <w:rStyle w:val="Characteritalic"/>
          <w:lang w:eastAsia="en-US"/>
        </w:rPr>
        <w:t>Aboriginal cultural rights in youth justice centres</w:t>
      </w:r>
      <w:r>
        <w:t xml:space="preserve">. The report drew on findings that strong cultural identity and connection to culture, country and community is a protective factor for the social and emotional wellbeing of Koori young people. </w:t>
      </w:r>
    </w:p>
    <w:p w:rsidR="0024051E" w:rsidRDefault="0024051E" w:rsidP="00CF3E72">
      <w:pPr>
        <w:pStyle w:val="BodyText"/>
      </w:pPr>
      <w:r>
        <w:t xml:space="preserve">The report found that Aboriginal communities want to see significant improvement in the frequency, quality and evaluation of programs to protect and promote Aboriginal cultural rights. The report makes a number of recommendations to improve the cultural connection for Aboriginal youth in youth justice centres, and to build the awareness, understanding and use of cultural rights for those involved with youth justice centres. It calls on the Department of Justice and Community Safety to develop a social and emotional wellbeing strategy for Koori children in custody. </w:t>
      </w:r>
    </w:p>
    <w:p w:rsidR="0024051E" w:rsidRDefault="0024051E" w:rsidP="00CF3E72">
      <w:pPr>
        <w:pStyle w:val="BodyText"/>
      </w:pPr>
      <w:r>
        <w:lastRenderedPageBreak/>
        <w:t>The Government is currently developing an Aboriginal Youth Justice Strategy, which will be informed by our report and recommendations.</w:t>
      </w:r>
    </w:p>
    <w:p w:rsidR="0024051E" w:rsidRDefault="0024051E" w:rsidP="007063DF">
      <w:pPr>
        <w:pStyle w:val="Heading3"/>
      </w:pPr>
      <w:r>
        <w:t>Racism in sport resources</w:t>
      </w:r>
    </w:p>
    <w:p w:rsidR="0024051E" w:rsidRDefault="0024051E" w:rsidP="00CF3E72">
      <w:pPr>
        <w:pStyle w:val="BodyText"/>
      </w:pPr>
      <w:r>
        <w:t xml:space="preserve">In late 2018 the Commission partnered with Vicsport to produce a video and suite of resources to help Victorians challenge racism when it appears in a sporting context. The project was funded by Sport and Recreation Victoria. </w:t>
      </w:r>
    </w:p>
    <w:p w:rsidR="0024051E" w:rsidRDefault="0024051E" w:rsidP="00CF3E72">
      <w:pPr>
        <w:pStyle w:val="BodyText"/>
      </w:pPr>
      <w:r>
        <w:t>The video features Aboriginal sportspeople talking about their experiences of racism and their ideas about how it should be handled – not just by themselves, but also with support and intervention from friends, teammates, coaches and other sporting officials.</w:t>
      </w:r>
    </w:p>
    <w:p w:rsidR="0024051E" w:rsidRDefault="0024051E" w:rsidP="00CF3E72">
      <w:pPr>
        <w:pStyle w:val="BodyText"/>
      </w:pPr>
      <w:r>
        <w:t xml:space="preserve">Two written resources were developed: </w:t>
      </w:r>
      <w:r w:rsidRPr="00485D7B">
        <w:rPr>
          <w:rStyle w:val="Characteritalic"/>
          <w:lang w:eastAsia="en-US"/>
        </w:rPr>
        <w:t>Racism is against the rules: a guide for sporting clubs and organisations</w:t>
      </w:r>
      <w:r>
        <w:t xml:space="preserve"> and </w:t>
      </w:r>
      <w:r w:rsidRPr="00485D7B">
        <w:rPr>
          <w:rStyle w:val="Characteritalic"/>
          <w:lang w:eastAsia="en-US"/>
        </w:rPr>
        <w:t>Racism is against the rules: a guide for players.</w:t>
      </w:r>
    </w:p>
    <w:p w:rsidR="0024051E" w:rsidRDefault="0024051E" w:rsidP="00CF3E72">
      <w:pPr>
        <w:pStyle w:val="BodyText"/>
      </w:pPr>
      <w:r>
        <w:t xml:space="preserve">Both resources offer information on addressing racism as well as contact details for organisations who can help, and also explain the obligations that sporting clubs and organisations have to ensure there is no place for racism in sport. </w:t>
      </w:r>
    </w:p>
    <w:p w:rsidR="0024051E" w:rsidRDefault="0024051E" w:rsidP="007063DF">
      <w:pPr>
        <w:pStyle w:val="Heading2"/>
      </w:pPr>
      <w:bookmarkStart w:id="11" w:name="_Toc21701402"/>
      <w:r>
        <w:t>Educate</w:t>
      </w:r>
      <w:bookmarkEnd w:id="11"/>
    </w:p>
    <w:p w:rsidR="0024051E" w:rsidRDefault="0024051E" w:rsidP="009E1664">
      <w:pPr>
        <w:pStyle w:val="BodyText"/>
      </w:pPr>
      <w:r>
        <w:t>We provide information to help people understand and assert their rights. We conduct reviews of programs and practices to help organisations comply with their equal opportunity and human rights obligations. We also provide an education and consultancy service to government, business and the community to drive leading practice in equality, diversity and human rights. </w:t>
      </w:r>
    </w:p>
    <w:p w:rsidR="0024051E" w:rsidRDefault="0024051E" w:rsidP="007063DF">
      <w:pPr>
        <w:pStyle w:val="Heading3"/>
      </w:pPr>
      <w:r>
        <w:t>Human rights and equal opportunity training </w:t>
      </w:r>
    </w:p>
    <w:p w:rsidR="0024051E" w:rsidRDefault="0024051E" w:rsidP="00CF3E72">
      <w:pPr>
        <w:pStyle w:val="BodyText"/>
      </w:pPr>
      <w:r>
        <w:t xml:space="preserve">The Education and Engagement branch delivers the Commission’s human rights and equal opportunity education and training through general enrolment programs, tailored workshops and organisational consultancy. </w:t>
      </w:r>
    </w:p>
    <w:p w:rsidR="0024051E" w:rsidRDefault="0024051E" w:rsidP="00CF3E72">
      <w:pPr>
        <w:pStyle w:val="BodyText"/>
      </w:pPr>
      <w:r>
        <w:t>In 2018–19 the Commission delivered 367 education and training sessions to 6930 participants. This included 19 general enrolment sessions and 348 tailored sessions and speaking engagements delivered to private sector, government and community organisations. Our average customer satisfaction rating for the year was 87 per cent.</w:t>
      </w:r>
    </w:p>
    <w:p w:rsidR="0024051E" w:rsidRDefault="0024051E" w:rsidP="00CF3E72">
      <w:pPr>
        <w:pStyle w:val="BodyText"/>
      </w:pPr>
      <w:r>
        <w:t>The Education and Engagement Branch also continued to build the Commission’s consulting practice, working with community, corporate and government stakeholders to drive leading practice in diversity and inclusion, and taking a collaborative approach to developing practical and tailored equal opportunity and human rights action plans. In 2018–19 we delivered tailored diagnostic reviews for employers and commenced a significant end-to-end program of work to support WorkSafe Victoria develop its inaugural Diversity and Inclusion Strategy and Action Plan.</w:t>
      </w:r>
    </w:p>
    <w:p w:rsidR="0024051E" w:rsidRDefault="0024051E" w:rsidP="007063DF">
      <w:pPr>
        <w:pStyle w:val="Heading3"/>
      </w:pPr>
      <w:r>
        <w:t>Raise It! Conversations about sexual harassment and workplace equality</w:t>
      </w:r>
    </w:p>
    <w:p w:rsidR="0024051E" w:rsidRDefault="0024051E" w:rsidP="00CF3E72">
      <w:pPr>
        <w:pStyle w:val="BodyText"/>
      </w:pPr>
      <w:r>
        <w:t xml:space="preserve">Raise It! was an innovative pilot project delivered in 2018–19 that was designed to help Victorian workers have constructive conversations to challenge discrimination </w:t>
      </w:r>
      <w:r>
        <w:lastRenderedPageBreak/>
        <w:t>and its root causes, and to build confidence and competence to have safe conversations about sexual harassment, pregnancy, parental leave and access to flexible work. The Commission undertook this work as research shows many people find talking about such topics very difficult and often do not know where to start to address inappropriate behaviour. Having a sexual harassment or flexible work policy is vital, but being able to put it into action is sometimes harder.</w:t>
      </w:r>
    </w:p>
    <w:p w:rsidR="0024051E" w:rsidRDefault="0024051E" w:rsidP="00CF3E72">
      <w:pPr>
        <w:pStyle w:val="BodyText"/>
      </w:pPr>
      <w:r>
        <w:t>The Commission developed a series of activities for seven pilot sites to engage with, including a policy wellness check, tailored education program and a series of digital and hard-copy conversation starter toolkits.</w:t>
      </w:r>
    </w:p>
    <w:p w:rsidR="0024051E" w:rsidRDefault="0024051E" w:rsidP="00CF3E72">
      <w:pPr>
        <w:pStyle w:val="BodyText"/>
      </w:pPr>
      <w:r>
        <w:t>An independent evaluation of the project was conducted, and a report delivered in May 2019 found that the pilot increased the awareness, knowledge and skills of participants about identifying, preventing and responding to sexual harassment and discrimination regarding flexible work, pregnancy and parental leave. Importantly, 85 per cent of participants said they feel better prepared to make a complaint about sexual harassment and 78 per cent reported increased confidence to make a request for parental leave or flexible work.</w:t>
      </w:r>
    </w:p>
    <w:p w:rsidR="0024051E" w:rsidRDefault="0024051E" w:rsidP="00CF3E72">
      <w:pPr>
        <w:pStyle w:val="BodyText"/>
      </w:pPr>
      <w:r>
        <w:t>Several pilot sites have continued their partnership with the Commission to roll out an enhanced version of the program across their organisation</w:t>
      </w:r>
      <w:r w:rsidR="009E1664">
        <w:t>.</w:t>
      </w:r>
    </w:p>
    <w:tbl>
      <w:tblPr>
        <w:tblW w:w="0" w:type="auto"/>
        <w:tblLook w:val="04A0" w:firstRow="1" w:lastRow="0" w:firstColumn="1" w:lastColumn="0" w:noHBand="0" w:noVBand="1"/>
      </w:tblPr>
      <w:tblGrid>
        <w:gridCol w:w="9286"/>
      </w:tblGrid>
      <w:tr w:rsidR="009E1664" w:rsidRPr="009549EF" w:rsidTr="009549EF">
        <w:tc>
          <w:tcPr>
            <w:tcW w:w="9286" w:type="dxa"/>
            <w:shd w:val="clear" w:color="auto" w:fill="C5E0B3"/>
          </w:tcPr>
          <w:p w:rsidR="009E1664" w:rsidRPr="009549EF" w:rsidRDefault="009E1664" w:rsidP="00DE0A9E">
            <w:pPr>
              <w:pStyle w:val="Heading3"/>
              <w:rPr>
                <w:lang w:val="en-US"/>
              </w:rPr>
            </w:pPr>
            <w:r w:rsidRPr="009549EF">
              <w:rPr>
                <w:lang w:val="en-US"/>
              </w:rPr>
              <w:lastRenderedPageBreak/>
              <w:t>Raise It! Toolkits</w:t>
            </w:r>
          </w:p>
          <w:p w:rsidR="009E1664" w:rsidRPr="009549EF" w:rsidRDefault="009E1664" w:rsidP="00DE0A9E">
            <w:pPr>
              <w:pStyle w:val="Heading4"/>
              <w:rPr>
                <w:lang w:val="en-US"/>
              </w:rPr>
            </w:pPr>
            <w:r w:rsidRPr="009549EF">
              <w:rPr>
                <w:lang w:val="en-US"/>
              </w:rPr>
              <w:t>Conversation starter kit</w:t>
            </w:r>
          </w:p>
          <w:p w:rsidR="009E1664" w:rsidRPr="009549EF" w:rsidRDefault="009E1664" w:rsidP="00DE0A9E">
            <w:pPr>
              <w:pStyle w:val="BodyText"/>
              <w:rPr>
                <w:lang w:val="en-US"/>
              </w:rPr>
            </w:pPr>
            <w:r w:rsidRPr="009549EF">
              <w:rPr>
                <w:lang w:val="en-US"/>
              </w:rPr>
              <w:t>This mixed-media kit helps team leaders identify and schedule conversation topics to share with their teams, provides conversation prompts and aims to create safe workplaces where these conversations are embedded into every day at work.</w:t>
            </w:r>
          </w:p>
          <w:p w:rsidR="009E1664" w:rsidRPr="009549EF" w:rsidRDefault="009E1664" w:rsidP="00DE0A9E">
            <w:pPr>
              <w:pStyle w:val="Heading4"/>
              <w:rPr>
                <w:lang w:val="en-US"/>
              </w:rPr>
            </w:pPr>
            <w:r w:rsidRPr="009549EF">
              <w:rPr>
                <w:lang w:val="en-US"/>
              </w:rPr>
              <w:t xml:space="preserve">Flexible work request planner </w:t>
            </w:r>
          </w:p>
          <w:p w:rsidR="009E1664" w:rsidRPr="009549EF" w:rsidRDefault="009E1664" w:rsidP="00DE0A9E">
            <w:pPr>
              <w:pStyle w:val="BodyText"/>
              <w:rPr>
                <w:lang w:val="en-US"/>
              </w:rPr>
            </w:pPr>
            <w:r w:rsidRPr="009549EF">
              <w:rPr>
                <w:lang w:val="en-US"/>
              </w:rPr>
              <w:t>A digital toolkit providing pathways for both managers and employees to identify key talking points to have a practical, informed discussion about flexible work requests.</w:t>
            </w:r>
          </w:p>
          <w:p w:rsidR="009E1664" w:rsidRPr="009549EF" w:rsidRDefault="009E1664" w:rsidP="00DE0A9E">
            <w:pPr>
              <w:pStyle w:val="Heading4"/>
              <w:rPr>
                <w:lang w:val="en-US"/>
              </w:rPr>
            </w:pPr>
            <w:r w:rsidRPr="009549EF">
              <w:rPr>
                <w:lang w:val="en-US"/>
              </w:rPr>
              <w:t xml:space="preserve">Sexual harassment support and response tool </w:t>
            </w:r>
          </w:p>
          <w:p w:rsidR="009E1664" w:rsidRPr="009549EF" w:rsidRDefault="009E1664" w:rsidP="00DE0A9E">
            <w:pPr>
              <w:pStyle w:val="BodyText"/>
              <w:rPr>
                <w:lang w:val="en-US"/>
              </w:rPr>
            </w:pPr>
            <w:r w:rsidRPr="009549EF">
              <w:rPr>
                <w:lang w:val="en-US"/>
              </w:rPr>
              <w:t>Provides victims/survivors with information and support services, and bystanders with options they can take to challenge behaviour at work that may have crossed the line.</w:t>
            </w:r>
          </w:p>
          <w:p w:rsidR="009E1664" w:rsidRPr="009549EF" w:rsidRDefault="009E1664" w:rsidP="00DE0A9E">
            <w:pPr>
              <w:pStyle w:val="Heading4"/>
              <w:rPr>
                <w:lang w:val="en-US"/>
              </w:rPr>
            </w:pPr>
            <w:r w:rsidRPr="009549EF">
              <w:rPr>
                <w:lang w:val="en-US"/>
              </w:rPr>
              <w:t>Parental leave and pregnancy planner</w:t>
            </w:r>
          </w:p>
          <w:p w:rsidR="009E1664" w:rsidRPr="009549EF" w:rsidRDefault="009E1664" w:rsidP="00DE0A9E">
            <w:pPr>
              <w:pStyle w:val="BodyText"/>
              <w:rPr>
                <w:lang w:val="en-US"/>
              </w:rPr>
            </w:pPr>
            <w:r w:rsidRPr="009549EF">
              <w:rPr>
                <w:lang w:val="en-US"/>
              </w:rPr>
              <w:t xml:space="preserve">A digital toolkit providing information about rights and pathways for managers and employees to make a tailored plan to talk about adjustments to work while pregnant, request parental leave and talk about return to work. </w:t>
            </w:r>
          </w:p>
          <w:p w:rsidR="009E1664" w:rsidRPr="009549EF" w:rsidRDefault="009E1664" w:rsidP="00DE0A9E">
            <w:pPr>
              <w:pStyle w:val="Heading4"/>
              <w:rPr>
                <w:lang w:val="en-US"/>
              </w:rPr>
            </w:pPr>
            <w:r w:rsidRPr="009549EF">
              <w:rPr>
                <w:lang w:val="en-US"/>
              </w:rPr>
              <w:t>Raise It! Pilot sites</w:t>
            </w:r>
          </w:p>
          <w:p w:rsidR="009E1664" w:rsidRPr="009549EF" w:rsidRDefault="009E1664" w:rsidP="00DE0A9E">
            <w:pPr>
              <w:pStyle w:val="ListBullet"/>
              <w:rPr>
                <w:lang w:val="en-US"/>
              </w:rPr>
            </w:pPr>
            <w:r w:rsidRPr="009549EF">
              <w:rPr>
                <w:lang w:val="en-US"/>
              </w:rPr>
              <w:t xml:space="preserve">Arts Centre Melbourne </w:t>
            </w:r>
          </w:p>
          <w:p w:rsidR="009E1664" w:rsidRPr="009549EF" w:rsidRDefault="009E1664" w:rsidP="00DE0A9E">
            <w:pPr>
              <w:pStyle w:val="ListBullet"/>
              <w:rPr>
                <w:lang w:val="en-US"/>
              </w:rPr>
            </w:pPr>
            <w:r w:rsidRPr="009549EF">
              <w:rPr>
                <w:lang w:val="en-US"/>
              </w:rPr>
              <w:t xml:space="preserve">Ambulance Victoria </w:t>
            </w:r>
          </w:p>
          <w:p w:rsidR="009E1664" w:rsidRPr="009549EF" w:rsidRDefault="009E1664" w:rsidP="00DE0A9E">
            <w:pPr>
              <w:pStyle w:val="ListBullet"/>
              <w:rPr>
                <w:lang w:val="en-US"/>
              </w:rPr>
            </w:pPr>
            <w:r w:rsidRPr="009549EF">
              <w:rPr>
                <w:lang w:val="en-US"/>
              </w:rPr>
              <w:t xml:space="preserve">Games Development Association of Australia and The Arcade </w:t>
            </w:r>
          </w:p>
          <w:p w:rsidR="009E1664" w:rsidRPr="009549EF" w:rsidRDefault="009E1664" w:rsidP="00DE0A9E">
            <w:pPr>
              <w:pStyle w:val="ListBullet"/>
              <w:rPr>
                <w:lang w:val="en-US"/>
              </w:rPr>
            </w:pPr>
            <w:r w:rsidRPr="009549EF">
              <w:rPr>
                <w:lang w:val="en-US"/>
              </w:rPr>
              <w:t xml:space="preserve">Plan International Australia </w:t>
            </w:r>
          </w:p>
          <w:p w:rsidR="009E1664" w:rsidRPr="009549EF" w:rsidRDefault="009E1664" w:rsidP="00DE0A9E">
            <w:pPr>
              <w:pStyle w:val="ListBullet"/>
              <w:rPr>
                <w:lang w:val="en-US"/>
              </w:rPr>
            </w:pPr>
            <w:r w:rsidRPr="009549EF">
              <w:rPr>
                <w:lang w:val="en-US"/>
              </w:rPr>
              <w:t xml:space="preserve">Monash City Council </w:t>
            </w:r>
          </w:p>
          <w:p w:rsidR="009E1664" w:rsidRPr="009549EF" w:rsidRDefault="009E1664" w:rsidP="00DE0A9E">
            <w:pPr>
              <w:pStyle w:val="ListBullet"/>
              <w:rPr>
                <w:lang w:val="en-US"/>
              </w:rPr>
            </w:pPr>
            <w:r w:rsidRPr="009549EF">
              <w:rPr>
                <w:lang w:val="en-US"/>
              </w:rPr>
              <w:t>Museums Victoria</w:t>
            </w:r>
          </w:p>
          <w:p w:rsidR="009E1664" w:rsidRPr="009549EF" w:rsidRDefault="009E1664" w:rsidP="00CF3E72">
            <w:pPr>
              <w:pStyle w:val="ListBullet"/>
              <w:rPr>
                <w:lang w:val="en-US"/>
              </w:rPr>
            </w:pPr>
            <w:r w:rsidRPr="009549EF">
              <w:rPr>
                <w:lang w:val="en-US"/>
              </w:rPr>
              <w:t xml:space="preserve">Yarra City Council </w:t>
            </w:r>
          </w:p>
        </w:tc>
      </w:tr>
    </w:tbl>
    <w:p w:rsidR="009E1664" w:rsidRDefault="009E1664" w:rsidP="00CF3E72">
      <w:pPr>
        <w:pStyle w:val="BodyText"/>
      </w:pPr>
    </w:p>
    <w:tbl>
      <w:tblPr>
        <w:tblW w:w="0" w:type="auto"/>
        <w:tblLook w:val="04A0" w:firstRow="1" w:lastRow="0" w:firstColumn="1" w:lastColumn="0" w:noHBand="0" w:noVBand="1"/>
      </w:tblPr>
      <w:tblGrid>
        <w:gridCol w:w="9286"/>
      </w:tblGrid>
      <w:tr w:rsidR="00DE0A9E" w:rsidRPr="009549EF" w:rsidTr="009549EF">
        <w:tc>
          <w:tcPr>
            <w:tcW w:w="9286" w:type="dxa"/>
            <w:shd w:val="clear" w:color="auto" w:fill="BDD6EE"/>
          </w:tcPr>
          <w:p w:rsidR="00DE0A9E" w:rsidRPr="009549EF" w:rsidRDefault="00DE0A9E" w:rsidP="00DE0A9E">
            <w:pPr>
              <w:pStyle w:val="Heading3"/>
              <w:rPr>
                <w:lang w:val="en-US"/>
              </w:rPr>
            </w:pPr>
            <w:r w:rsidRPr="009549EF">
              <w:rPr>
                <w:lang w:val="en-US"/>
              </w:rPr>
              <w:lastRenderedPageBreak/>
              <w:t>Sexual harassment discrimination</w:t>
            </w:r>
          </w:p>
          <w:p w:rsidR="00DE0A9E" w:rsidRPr="009549EF" w:rsidRDefault="00DE0A9E" w:rsidP="00DE0A9E">
            <w:pPr>
              <w:pStyle w:val="BodyText"/>
              <w:rPr>
                <w:lang w:val="en-US"/>
              </w:rPr>
            </w:pPr>
            <w:r w:rsidRPr="009549EF">
              <w:rPr>
                <w:lang w:val="en-US"/>
              </w:rPr>
              <w:t xml:space="preserve">A young woman worked for a hotel company and experienced a series of issues with one of her managers that lead to her making a complaint to the Commission. She alleged that the manager would criticise her performance in front of colleagues and that she was targeted more than other colleagues. She alleged that she was chastised for crying at work, called ‘weak’, and punished for ‘transgressions’ such as taking sick days. </w:t>
            </w:r>
          </w:p>
          <w:p w:rsidR="00DE0A9E" w:rsidRPr="009549EF" w:rsidRDefault="00DE0A9E" w:rsidP="00DE0A9E">
            <w:pPr>
              <w:pStyle w:val="BodyText"/>
              <w:rPr>
                <w:lang w:val="en-US"/>
              </w:rPr>
            </w:pPr>
            <w:r w:rsidRPr="009549EF">
              <w:rPr>
                <w:lang w:val="en-US"/>
              </w:rPr>
              <w:t xml:space="preserve">Her allegations also included that her male manager told her what to wear and who she could see outside of work, punishing her at work if she saw someone he did not want her to see. She said that the manager drove her out of town to work at another location, booked accommodation together, and then coerced her into a sexual relationship. She believed that everything done before this time had been to ‘groom’ her for this specific moment. She felt he had isolated her from her family and friends and left her dependent on him. </w:t>
            </w:r>
          </w:p>
          <w:p w:rsidR="00DE0A9E" w:rsidRPr="009549EF" w:rsidRDefault="00DE0A9E" w:rsidP="00DE0A9E">
            <w:pPr>
              <w:pStyle w:val="BodyText"/>
              <w:rPr>
                <w:lang w:val="en-US"/>
              </w:rPr>
            </w:pPr>
            <w:r w:rsidRPr="009549EF">
              <w:rPr>
                <w:lang w:val="en-US"/>
              </w:rPr>
              <w:t>After reporting her manager’s sexual harassment, she found out he had told people she had a mental illness, to damage her credibility. There was an internal investigation following her complaint, but she felt it was incompetent and caused her further suffering. She then made a complaint to the Commission.</w:t>
            </w:r>
          </w:p>
          <w:p w:rsidR="00DE0A9E" w:rsidRPr="009549EF" w:rsidRDefault="00DE0A9E" w:rsidP="00DE0A9E">
            <w:pPr>
              <w:pStyle w:val="BodyText"/>
              <w:rPr>
                <w:lang w:val="en-US"/>
              </w:rPr>
            </w:pPr>
            <w:r w:rsidRPr="009549EF">
              <w:rPr>
                <w:lang w:val="en-US"/>
              </w:rPr>
              <w:t xml:space="preserve">The respondent denied the allegations of sexual harassment and discrimination but agreed to attend conciliation at the Commission to resolve the complaint. The matter was resolved with an agreement that the complainant would resign, and that respondent would pay $43,317.43 for pain and suffering, and $1682.57 in leave entitlements. </w:t>
            </w:r>
          </w:p>
        </w:tc>
      </w:tr>
    </w:tbl>
    <w:p w:rsidR="0024051E" w:rsidRDefault="0024051E" w:rsidP="007063DF">
      <w:pPr>
        <w:pStyle w:val="Heading3"/>
      </w:pPr>
      <w:r>
        <w:t>Charter Education Program: Building a Culture of Human Rights in the Victorian Public Sector</w:t>
      </w:r>
    </w:p>
    <w:p w:rsidR="0024051E" w:rsidRDefault="0024051E" w:rsidP="00CF3E72">
      <w:pPr>
        <w:pStyle w:val="BodyText"/>
      </w:pPr>
      <w:r>
        <w:t>This education program is a collaboration between the Commission and the Human Rights Unit of the Victorian Department of Justice and Community Safety.</w:t>
      </w:r>
    </w:p>
    <w:p w:rsidR="0024051E" w:rsidRDefault="0024051E" w:rsidP="00CF3E72">
      <w:pPr>
        <w:pStyle w:val="BodyText"/>
      </w:pPr>
      <w:r>
        <w:t xml:space="preserve">The program supports public authorities in Victoria make human rights part of the everyday business of government. Throughout 2018–19 the Commission partnered with targeted public authorities to build human rights culture in the Victorian public sector (VPS) through the delivery of three key outputs: </w:t>
      </w:r>
    </w:p>
    <w:p w:rsidR="0024051E" w:rsidRDefault="0024051E" w:rsidP="007063DF">
      <w:pPr>
        <w:pStyle w:val="ListBullet"/>
      </w:pPr>
      <w:r>
        <w:t>tailored education services to departments and agencies on how to apply the Charter to their workplace</w:t>
      </w:r>
    </w:p>
    <w:p w:rsidR="0024051E" w:rsidRDefault="0024051E" w:rsidP="007063DF">
      <w:pPr>
        <w:pStyle w:val="ListBullet"/>
      </w:pPr>
      <w:r>
        <w:t>a suite of six online Charter education modules for VPS staff</w:t>
      </w:r>
    </w:p>
    <w:p w:rsidR="0024051E" w:rsidRDefault="0024051E" w:rsidP="007063DF">
      <w:pPr>
        <w:pStyle w:val="ListBullet"/>
      </w:pPr>
      <w:r>
        <w:t xml:space="preserve">support to leaders across the VPS including the Charter Leaders Group. </w:t>
      </w:r>
    </w:p>
    <w:p w:rsidR="0024051E" w:rsidRDefault="0024051E" w:rsidP="007063DF">
      <w:pPr>
        <w:pStyle w:val="Heading4"/>
      </w:pPr>
      <w:r>
        <w:t>Tailored education services</w:t>
      </w:r>
    </w:p>
    <w:p w:rsidR="0024051E" w:rsidRDefault="0024051E" w:rsidP="00CF3E72">
      <w:pPr>
        <w:pStyle w:val="BodyText"/>
      </w:pPr>
      <w:r>
        <w:t xml:space="preserve">The Commission, together with the Human Rights Unit, delivered more than 450 education sessions on rights and obligations under the Charter for duty holders across the VPS, reaching more than 7800 public sector staff in face-to-face education sessions. </w:t>
      </w:r>
    </w:p>
    <w:p w:rsidR="0024051E" w:rsidRDefault="0024051E" w:rsidP="00CF3E72">
      <w:pPr>
        <w:pStyle w:val="BodyText"/>
      </w:pPr>
      <w:r>
        <w:lastRenderedPageBreak/>
        <w:t xml:space="preserve">Among those public authorities engaged in the Charter Education Program, Corrections Victoria has undertaken Charter education services for leadership and supervisors in all adult prisons. </w:t>
      </w:r>
    </w:p>
    <w:p w:rsidR="0024051E" w:rsidRDefault="0024051E" w:rsidP="007063DF">
      <w:pPr>
        <w:pStyle w:val="Heading4"/>
      </w:pPr>
      <w:r>
        <w:t>Charter of Human Rights online education program</w:t>
      </w:r>
    </w:p>
    <w:p w:rsidR="0024051E" w:rsidRDefault="0024051E" w:rsidP="00CF3E72">
      <w:pPr>
        <w:pStyle w:val="BodyText"/>
      </w:pPr>
      <w:r>
        <w:t xml:space="preserve">In December 2018, the Commission launched six online education modules targeted toward the Victorian public sector and local government. The purpose of the modules is to introduce public sector staff to the Charter and provide a baseline awareness of rights and obligations under the Charter. </w:t>
      </w:r>
    </w:p>
    <w:p w:rsidR="0024051E" w:rsidRDefault="0024051E" w:rsidP="00CF3E72">
      <w:pPr>
        <w:pStyle w:val="BodyText"/>
      </w:pPr>
      <w:r>
        <w:t>The six modules cover the following topics:</w:t>
      </w:r>
    </w:p>
    <w:p w:rsidR="0024051E" w:rsidRDefault="0024051E" w:rsidP="007063DF">
      <w:pPr>
        <w:pStyle w:val="ListBullet"/>
      </w:pPr>
      <w:r>
        <w:t>an overview of the Charter</w:t>
      </w:r>
    </w:p>
    <w:p w:rsidR="0024051E" w:rsidRDefault="0024051E" w:rsidP="007063DF">
      <w:pPr>
        <w:pStyle w:val="ListBullet"/>
      </w:pPr>
      <w:r>
        <w:t>protected rights and obligations under the Charter </w:t>
      </w:r>
    </w:p>
    <w:p w:rsidR="0024051E" w:rsidRDefault="0024051E" w:rsidP="007063DF">
      <w:pPr>
        <w:pStyle w:val="ListBullet"/>
      </w:pPr>
      <w:r>
        <w:t>what it means to build a culture of human rights in Victoria </w:t>
      </w:r>
    </w:p>
    <w:p w:rsidR="0024051E" w:rsidRDefault="0024051E" w:rsidP="007063DF">
      <w:pPr>
        <w:pStyle w:val="ListBullet"/>
      </w:pPr>
      <w:r>
        <w:t>complaints and remedies </w:t>
      </w:r>
    </w:p>
    <w:p w:rsidR="0024051E" w:rsidRDefault="0024051E" w:rsidP="007063DF">
      <w:pPr>
        <w:pStyle w:val="ListBullet"/>
      </w:pPr>
      <w:r>
        <w:t>the Legislative process </w:t>
      </w:r>
    </w:p>
    <w:p w:rsidR="0024051E" w:rsidRDefault="0024051E" w:rsidP="007063DF">
      <w:pPr>
        <w:pStyle w:val="ListBullet"/>
      </w:pPr>
      <w:r>
        <w:t>courts and tribunals</w:t>
      </w:r>
    </w:p>
    <w:p w:rsidR="0024051E" w:rsidRDefault="0024051E" w:rsidP="00CF3E72">
      <w:pPr>
        <w:pStyle w:val="BodyText"/>
      </w:pPr>
      <w:r>
        <w:t xml:space="preserve">As of June 2019, 334 people registered to complete the online learning program. </w:t>
      </w:r>
    </w:p>
    <w:tbl>
      <w:tblPr>
        <w:tblW w:w="0" w:type="auto"/>
        <w:tblLook w:val="04A0" w:firstRow="1" w:lastRow="0" w:firstColumn="1" w:lastColumn="0" w:noHBand="0" w:noVBand="1"/>
      </w:tblPr>
      <w:tblGrid>
        <w:gridCol w:w="9286"/>
      </w:tblGrid>
      <w:tr w:rsidR="00DE0A9E" w:rsidRPr="009549EF" w:rsidTr="009549EF">
        <w:tc>
          <w:tcPr>
            <w:tcW w:w="9286" w:type="dxa"/>
            <w:shd w:val="clear" w:color="auto" w:fill="BDD6EE"/>
          </w:tcPr>
          <w:p w:rsidR="00DE0A9E" w:rsidRPr="009549EF" w:rsidRDefault="00DE0A9E" w:rsidP="00DE0A9E">
            <w:pPr>
              <w:pStyle w:val="Heading3"/>
              <w:rPr>
                <w:lang w:val="en-US"/>
              </w:rPr>
            </w:pPr>
            <w:r w:rsidRPr="009549EF">
              <w:rPr>
                <w:lang w:val="en-US"/>
              </w:rPr>
              <w:lastRenderedPageBreak/>
              <w:t>Case study: Barwon Prison</w:t>
            </w:r>
          </w:p>
          <w:p w:rsidR="00DE0A9E" w:rsidRPr="009549EF" w:rsidRDefault="00DE0A9E" w:rsidP="00DE0A9E">
            <w:pPr>
              <w:pStyle w:val="BodyText"/>
              <w:rPr>
                <w:lang w:val="en-US"/>
              </w:rPr>
            </w:pPr>
            <w:r w:rsidRPr="009549EF">
              <w:rPr>
                <w:lang w:val="en-US"/>
              </w:rPr>
              <w:t xml:space="preserve">‘One of the most telling moments for me was when I realised that I’m not hamstrung or hindered if I use the Charter in my job. This is something people worry about. </w:t>
            </w:r>
          </w:p>
          <w:p w:rsidR="00DE0A9E" w:rsidRPr="009549EF" w:rsidRDefault="00DE0A9E" w:rsidP="00DE0A9E">
            <w:pPr>
              <w:pStyle w:val="BodyText"/>
              <w:rPr>
                <w:lang w:val="en-US"/>
              </w:rPr>
            </w:pPr>
            <w:r w:rsidRPr="009549EF">
              <w:rPr>
                <w:lang w:val="en-US"/>
              </w:rPr>
              <w:t xml:space="preserve">‘For example, I got a chance to use the Charter on the same day I received the Charter training, and it led to a positive outcome. </w:t>
            </w:r>
          </w:p>
          <w:p w:rsidR="00DE0A9E" w:rsidRPr="009549EF" w:rsidRDefault="00DE0A9E" w:rsidP="00DE0A9E">
            <w:pPr>
              <w:pStyle w:val="BodyText"/>
              <w:rPr>
                <w:lang w:val="en-US"/>
              </w:rPr>
            </w:pPr>
            <w:r w:rsidRPr="009549EF">
              <w:rPr>
                <w:lang w:val="en-US"/>
              </w:rPr>
              <w:t xml:space="preserve">‘We had a challenging prisoner who was very aware of the Charter and his human rights, as a lot of prisoners are. He was in a holding cell and was required to produce a urine sample. However, he was demanding to the prison staff that he wanted his lunch, and that it was against his human rights not to give it to him. </w:t>
            </w:r>
          </w:p>
          <w:p w:rsidR="00DE0A9E" w:rsidRPr="009549EF" w:rsidRDefault="00DE0A9E" w:rsidP="00DE0A9E">
            <w:pPr>
              <w:pStyle w:val="BodyText"/>
              <w:rPr>
                <w:lang w:val="en-US"/>
              </w:rPr>
            </w:pPr>
            <w:r w:rsidRPr="009549EF">
              <w:rPr>
                <w:lang w:val="en-US"/>
              </w:rPr>
              <w:t>‘We identified that the prisoner’s human rights were engaged – he was hungry and had the right to be treated with dignity as a person. However, in this situation, providing him lunch would compromise the process, and we would only be delaying his lunch for a short time. We communicated to the prisoner that we’d considered his human rights but had decided it was justified to limit them in these circumstances. The prison staff rang me later and they told me that they couldn’t believe how willingly the prisoner accepted the decision after that had been communicated to him.</w:t>
            </w:r>
          </w:p>
          <w:p w:rsidR="00DE0A9E" w:rsidRPr="009549EF" w:rsidRDefault="00DE0A9E" w:rsidP="00DE0A9E">
            <w:pPr>
              <w:pStyle w:val="BodyText"/>
              <w:rPr>
                <w:lang w:val="en-US"/>
              </w:rPr>
            </w:pPr>
            <w:r w:rsidRPr="009549EF">
              <w:rPr>
                <w:lang w:val="en-US"/>
              </w:rPr>
              <w:t>‘Considering the prisoner’s human rights absolutely changed the situation for the better. I’ve always been about fairness and equality anyway, as a person. But that gave me a real insight into what we are required to do under the Charter. The reality is that we work in an environment where we have to limit a prisoner’s human rights from time to time.’</w:t>
            </w:r>
          </w:p>
        </w:tc>
      </w:tr>
    </w:tbl>
    <w:p w:rsidR="0024051E" w:rsidRDefault="0024051E" w:rsidP="007063DF">
      <w:pPr>
        <w:pStyle w:val="Heading4"/>
      </w:pPr>
    </w:p>
    <w:p w:rsidR="0024051E" w:rsidRDefault="0024051E" w:rsidP="007063DF">
      <w:pPr>
        <w:pStyle w:val="Heading4"/>
      </w:pPr>
      <w:r>
        <w:t>Public sector leaders and the Charter Leaders Group</w:t>
      </w:r>
    </w:p>
    <w:p w:rsidR="0024051E" w:rsidRDefault="0024051E" w:rsidP="00CF3E72">
      <w:pPr>
        <w:pStyle w:val="BodyText"/>
      </w:pPr>
      <w:r>
        <w:t>The Charter Education Program recognises that Charter education alone will not drive a culture of human rights. Leaders are central to efforts to build and sustain a positive human rights culture. The program is working with managers and leadership in partnering agencies to emphasise the role of leadership in promoting education activities as well as broader actions leaders may take under the Commission’s human rights indicator framework. See page 36 for more information about the indicator framework.</w:t>
      </w:r>
    </w:p>
    <w:p w:rsidR="0024051E" w:rsidRDefault="0024051E" w:rsidP="00CF3E72">
      <w:pPr>
        <w:pStyle w:val="BodyText"/>
      </w:pPr>
      <w:r>
        <w:t>The Charter Education Program is also supporting the work of the Charter Leaders Group (CLG), appointed by the Victorian Secretaries Board, to promote human rights and embed a human rights culture within the Victorian Public Sector.</w:t>
      </w:r>
    </w:p>
    <w:p w:rsidR="0024051E" w:rsidRDefault="0024051E" w:rsidP="00CF3E72">
      <w:pPr>
        <w:pStyle w:val="BodyText"/>
      </w:pPr>
      <w:r>
        <w:t xml:space="preserve">The CLG was formed in early 2018 and comprises senior executive sponsors from each department, Victoria Police and Victorian Public Sector Commission. The purpose of the CLG is to give practical effect to the Charter by testing, demonstrating and role modelling how leadership can embed human rights practice in organisational core documents, systems and operational capacity. </w:t>
      </w:r>
    </w:p>
    <w:p w:rsidR="0024051E" w:rsidRDefault="0024051E" w:rsidP="00CF3E72">
      <w:pPr>
        <w:pStyle w:val="BodyText"/>
      </w:pPr>
      <w:r>
        <w:t xml:space="preserve">The results have already indicated there is a growing understanding of human rights within the sector. The results from the 2018 VPS People Matters Survey suggest that public sector staff have increased awareness of how to apply the Charter in their day to day work.  In response to the question, ‘I understand how the Charter applies to my work’, there was a 15 per cent increase in the number of staff who ‘agree’ or </w:t>
      </w:r>
      <w:r>
        <w:lastRenderedPageBreak/>
        <w:t xml:space="preserve">‘strongly agree’ in 2018 (overall 76.2 per cent) as compared to the previous year (61.2 per cent in 2017). </w:t>
      </w:r>
    </w:p>
    <w:p w:rsidR="0024051E" w:rsidRDefault="0024051E" w:rsidP="007063DF">
      <w:pPr>
        <w:pStyle w:val="Heading3"/>
      </w:pPr>
      <w:r>
        <w:t>Human rights in schools</w:t>
      </w:r>
    </w:p>
    <w:p w:rsidR="0024051E" w:rsidRDefault="0024051E" w:rsidP="00CF3E72">
      <w:pPr>
        <w:pStyle w:val="BodyText"/>
      </w:pPr>
      <w:r>
        <w:t xml:space="preserve">In June 2018, the Commission commenced a project with the Department of Education and Training (DET) to promote a human rights approach to diversity and inclusion in Victorian schools. </w:t>
      </w:r>
    </w:p>
    <w:p w:rsidR="0024051E" w:rsidRDefault="0024051E" w:rsidP="00CF3E72">
      <w:pPr>
        <w:pStyle w:val="BodyText"/>
      </w:pPr>
      <w:r>
        <w:t>This project has its origins in Held Back, a major research project the Commission undertook with DET in 2013, which focused on the needs of students with disabilities vulnerable to experiences of discrimination, and human rights abuses. While ensuring the inclusion of students with a disability continues to be a focus, this project delivered a broadly focused human rights approach that supports schools to improve inclusive practice and protect human rights for all students and their families.  </w:t>
      </w:r>
    </w:p>
    <w:p w:rsidR="0024051E" w:rsidRDefault="0024051E" w:rsidP="00CF3E72">
      <w:pPr>
        <w:pStyle w:val="BodyText"/>
      </w:pPr>
      <w:r>
        <w:t xml:space="preserve">The first stage of the work involved a close look at education settings to help identify leading practice and focus areas for human rights initiatives in schools. These findings were used to develop and deliver a professional education program, in partnership with DET, with more than 128 education professionals from 43 schools participating. </w:t>
      </w:r>
    </w:p>
    <w:p w:rsidR="0024051E" w:rsidRDefault="0024051E" w:rsidP="00CF3E72">
      <w:pPr>
        <w:pStyle w:val="BodyText"/>
      </w:pPr>
      <w:r>
        <w:t xml:space="preserve">The second stage of the work engaged eight pilot schools to undertake a program of work to build sustainable commitment, staff capability and community engagement for embedding a human rights approach to diversity and inclusion as a long-term vision. </w:t>
      </w:r>
    </w:p>
    <w:p w:rsidR="0024051E" w:rsidRDefault="0024051E" w:rsidP="00CF3E72">
      <w:pPr>
        <w:pStyle w:val="BodyText"/>
      </w:pPr>
      <w:r>
        <w:t>The project design includes:</w:t>
      </w:r>
    </w:p>
    <w:p w:rsidR="0024051E" w:rsidRDefault="0024051E" w:rsidP="00DE0A9E">
      <w:pPr>
        <w:pStyle w:val="ListBullet"/>
      </w:pPr>
      <w:r>
        <w:t>a wellness check process to inform the development of a tailored human rights action plan for each school</w:t>
      </w:r>
    </w:p>
    <w:p w:rsidR="0024051E" w:rsidRDefault="0024051E" w:rsidP="00DE0A9E">
      <w:pPr>
        <w:pStyle w:val="ListBullet"/>
      </w:pPr>
      <w:r>
        <w:t>a whole-of-school professional learning program</w:t>
      </w:r>
    </w:p>
    <w:p w:rsidR="0024051E" w:rsidRDefault="0024051E" w:rsidP="00DE0A9E">
      <w:pPr>
        <w:pStyle w:val="ListBullet"/>
      </w:pPr>
      <w:r>
        <w:t>a coaching program for school-based project leaders to build their capacity to lead this work in schools</w:t>
      </w:r>
    </w:p>
    <w:p w:rsidR="0024051E" w:rsidRDefault="0024051E" w:rsidP="00DE0A9E">
      <w:pPr>
        <w:pStyle w:val="ListBullet"/>
      </w:pPr>
      <w:r>
        <w:t>a suite of human-centred designed tools to consolidate and deepen the knowledge and skills of school staff to apply a human rights approach, and support schools to engage positively with parent and carer communities</w:t>
      </w:r>
    </w:p>
    <w:p w:rsidR="0024051E" w:rsidRDefault="0024051E" w:rsidP="00DE0A9E">
      <w:pPr>
        <w:pStyle w:val="ListBullet"/>
      </w:pPr>
      <w:r>
        <w:t>a community forum to inform parent and carer communities of their rights, and their role in promoting rights respecting school cultures.</w:t>
      </w:r>
    </w:p>
    <w:p w:rsidR="0024051E" w:rsidRDefault="0024051E" w:rsidP="00CF3E72">
      <w:pPr>
        <w:pStyle w:val="BodyText"/>
      </w:pPr>
      <w:r>
        <w:t xml:space="preserve">The project concluded on 30 June, and we will continue working with DET to assess project resources and outcomes to inform the next stages of work. </w:t>
      </w:r>
    </w:p>
    <w:p w:rsidR="0024051E" w:rsidRDefault="0024051E" w:rsidP="007063DF">
      <w:pPr>
        <w:pStyle w:val="Heading3"/>
      </w:pPr>
      <w:r>
        <w:t xml:space="preserve">The Charter of Human Rights and Responsibilities – A guide for Victorian public sector workers (second edition) </w:t>
      </w:r>
    </w:p>
    <w:p w:rsidR="0024051E" w:rsidRDefault="0024051E" w:rsidP="00CF3E72">
      <w:pPr>
        <w:pStyle w:val="BodyText"/>
      </w:pPr>
      <w:r>
        <w:t xml:space="preserve">To help public authorities apply the Charter in their day-to-day work and build a human rights culture, the Commission has revised its guide for VPS workers. </w:t>
      </w:r>
    </w:p>
    <w:p w:rsidR="0024051E" w:rsidRDefault="0024051E" w:rsidP="00CF3E72">
      <w:pPr>
        <w:pStyle w:val="BodyText"/>
      </w:pPr>
      <w:r>
        <w:t xml:space="preserve">This second edition of the guide supports the Victorian Government’s renewed commitment to human rights education and the work the Commission is doing alongside public authorities to put people’s human rights at the heart of the public </w:t>
      </w:r>
      <w:r>
        <w:lastRenderedPageBreak/>
        <w:t xml:space="preserve">service. The guide is designed as a practical tool to help public sector employees build their human rights knowledge and capability to contribute to a strong human rights culture. This edition also includes a step-by-step instruction to guide public sector staff on how to act compatibly with human rights and give proper consideration to human rights when making decisions. </w:t>
      </w:r>
    </w:p>
    <w:p w:rsidR="0024051E" w:rsidRDefault="0024051E" w:rsidP="00CF3E72">
      <w:pPr>
        <w:pStyle w:val="BodyText"/>
      </w:pPr>
      <w:r>
        <w:t>The guide also helps simplify the obligation of public authorities – including government departments, local councils, and public sector employees – to give proper consideration to human rights when making a decision and to act compatibly with human rights. This reflects developments by courts and tribunals to clarify the operation of the Charter.</w:t>
      </w:r>
    </w:p>
    <w:p w:rsidR="0024051E" w:rsidRDefault="0024051E" w:rsidP="007063DF">
      <w:pPr>
        <w:pStyle w:val="Heading3"/>
      </w:pPr>
      <w:r>
        <w:t>Working with diverse communities</w:t>
      </w:r>
    </w:p>
    <w:p w:rsidR="0024051E" w:rsidRDefault="0024051E" w:rsidP="00CF3E72">
      <w:pPr>
        <w:pStyle w:val="BodyText"/>
      </w:pPr>
      <w:r>
        <w:t xml:space="preserve">Under the strategic priority of Reducing Racism, the Commission has undertaken several projects to raise awareness about people’s rights under our laws. </w:t>
      </w:r>
    </w:p>
    <w:p w:rsidR="0024051E" w:rsidRDefault="0024051E" w:rsidP="007063DF">
      <w:pPr>
        <w:pStyle w:val="Heading4"/>
      </w:pPr>
      <w:r>
        <w:t xml:space="preserve">Multicultural and Multifaith Engagement Action Plan </w:t>
      </w:r>
    </w:p>
    <w:p w:rsidR="0024051E" w:rsidRDefault="0024051E" w:rsidP="00CF3E72">
      <w:pPr>
        <w:pStyle w:val="BodyText"/>
      </w:pPr>
      <w:r>
        <w:t xml:space="preserve">The Multicultural and Multifaith Engagement Action Plan (MMEAP) was launched in 2018 after an extensive consultation with multicultural and multifaith community leaders and members, key community agencies and advocates. </w:t>
      </w:r>
    </w:p>
    <w:p w:rsidR="0024051E" w:rsidRDefault="0024051E" w:rsidP="00CF3E72">
      <w:pPr>
        <w:pStyle w:val="BodyText"/>
      </w:pPr>
      <w:r>
        <w:t>The MMEAP is designed to ensure greater numbers of Victorians from multicultural and multifaith communities, and their advocates, have the confidence and information to access the Commission and exercise their rights. This important piece of work is aligned with the Commission’s five-year Strategic Plan and, in particular, the priority area of Reducing Racism.</w:t>
      </w:r>
    </w:p>
    <w:p w:rsidR="0024051E" w:rsidRDefault="0024051E" w:rsidP="00CF3E72">
      <w:pPr>
        <w:pStyle w:val="BodyText"/>
      </w:pPr>
      <w:r>
        <w:t>Promoting and protecting the human rights of multicultural and multifaith people in Victoria contributes to the promotion and protection of human rights for all people in Victoria. Further, the MMEAP contributes to the Commission’s vision of making Victoria a more inclusive place where all people are treated with dignity and respect. </w:t>
      </w:r>
    </w:p>
    <w:p w:rsidR="0024051E" w:rsidRDefault="0024051E" w:rsidP="00CF3E72">
      <w:pPr>
        <w:pStyle w:val="BodyText"/>
      </w:pPr>
      <w:r>
        <w:t>The Commission has heard from many people who have experienced racism and who often do not make a complaint, either for fear of a negative impact such as losing their job or accommodation, or because they are not aware of how the Commission can help.</w:t>
      </w:r>
    </w:p>
    <w:tbl>
      <w:tblPr>
        <w:tblW w:w="0" w:type="auto"/>
        <w:tblLook w:val="04A0" w:firstRow="1" w:lastRow="0" w:firstColumn="1" w:lastColumn="0" w:noHBand="0" w:noVBand="1"/>
      </w:tblPr>
      <w:tblGrid>
        <w:gridCol w:w="9286"/>
      </w:tblGrid>
      <w:tr w:rsidR="00DE0A9E" w:rsidRPr="009549EF" w:rsidTr="009549EF">
        <w:tc>
          <w:tcPr>
            <w:tcW w:w="9286" w:type="dxa"/>
            <w:shd w:val="clear" w:color="auto" w:fill="BDD6EE"/>
          </w:tcPr>
          <w:p w:rsidR="00DE0A9E" w:rsidRPr="009549EF" w:rsidRDefault="00DE0A9E" w:rsidP="00DE0A9E">
            <w:pPr>
              <w:pStyle w:val="Heading3"/>
              <w:rPr>
                <w:lang w:val="en-US"/>
              </w:rPr>
            </w:pPr>
            <w:r w:rsidRPr="009549EF">
              <w:rPr>
                <w:lang w:val="en-US"/>
              </w:rPr>
              <w:lastRenderedPageBreak/>
              <w:t>What we heard</w:t>
            </w:r>
          </w:p>
          <w:p w:rsidR="00DE0A9E" w:rsidRPr="009549EF" w:rsidRDefault="00DE0A9E" w:rsidP="00DE0A9E">
            <w:pPr>
              <w:pStyle w:val="BodyText"/>
              <w:rPr>
                <w:lang w:val="en-US"/>
              </w:rPr>
            </w:pPr>
            <w:r w:rsidRPr="009549EF">
              <w:rPr>
                <w:lang w:val="en-US"/>
              </w:rPr>
              <w:t xml:space="preserve">A woman who worked as Vietnamese interpreter in a hospital who was denied leave for the Lunar New Year because her manager did not recognise its cultural significance. </w:t>
            </w:r>
          </w:p>
          <w:p w:rsidR="00DE0A9E" w:rsidRPr="009549EF" w:rsidRDefault="00DE0A9E" w:rsidP="00DE0A9E">
            <w:pPr>
              <w:pStyle w:val="BodyText"/>
              <w:rPr>
                <w:lang w:val="en-US"/>
              </w:rPr>
            </w:pPr>
            <w:r w:rsidRPr="009549EF">
              <w:rPr>
                <w:lang w:val="en-US"/>
              </w:rPr>
              <w:t xml:space="preserve">A young retail worker whose parents told us how her co-workers called her ‘Chinese-y’ and imitated her accent. Her manager knew about the behaviour but did nothing. </w:t>
            </w:r>
          </w:p>
          <w:p w:rsidR="00DE0A9E" w:rsidRPr="009549EF" w:rsidRDefault="00DE0A9E" w:rsidP="00CF3E72">
            <w:pPr>
              <w:pStyle w:val="BodyText"/>
              <w:rPr>
                <w:lang w:val="en-US"/>
              </w:rPr>
            </w:pPr>
            <w:r w:rsidRPr="009549EF">
              <w:rPr>
                <w:lang w:val="en-US"/>
              </w:rPr>
              <w:t xml:space="preserve">Aboriginal Victorians have shared with us the unfair treatment they often receive in the provision of goods and services. One woman told us about how a doctor had refused to treat her unless she paid up front; another told us about how she and her daughters were followed around a store while shopping and then subjected to bag checks when no other customers were. They felt shamed and humiliated. </w:t>
            </w:r>
          </w:p>
        </w:tc>
      </w:tr>
    </w:tbl>
    <w:p w:rsidR="0024051E" w:rsidRDefault="0024051E" w:rsidP="00485D7B">
      <w:pPr>
        <w:pStyle w:val="Heading5"/>
      </w:pPr>
      <w:r>
        <w:t>Reducing Racism Project</w:t>
      </w:r>
    </w:p>
    <w:p w:rsidR="0024051E" w:rsidRDefault="0024051E" w:rsidP="00CF3E72">
      <w:pPr>
        <w:pStyle w:val="BodyText"/>
      </w:pPr>
      <w:r>
        <w:t xml:space="preserve">The Reducing Racism project is embedded in the MMEAP and is dedicated to addressing the harmful and persistent racism, religious discrimination and racial and religious vilification experienced by multifaith African communities and the Muslim community. </w:t>
      </w:r>
    </w:p>
    <w:p w:rsidR="0024051E" w:rsidRDefault="0024051E" w:rsidP="00CF3E72">
      <w:pPr>
        <w:pStyle w:val="BodyText"/>
      </w:pPr>
      <w:r>
        <w:t>By partnering with organisations who work closely with various African and Muslim groups, the project aims to empower these groups to exercise their rights and to report incidents of harm. The project’s elements include:</w:t>
      </w:r>
    </w:p>
    <w:p w:rsidR="0024051E" w:rsidRDefault="0024051E" w:rsidP="007063DF">
      <w:pPr>
        <w:pStyle w:val="ListBullet"/>
      </w:pPr>
      <w:r>
        <w:t>delivering co-designed education programs</w:t>
      </w:r>
    </w:p>
    <w:p w:rsidR="0024051E" w:rsidRDefault="0024051E" w:rsidP="007063DF">
      <w:pPr>
        <w:pStyle w:val="ListBullet"/>
      </w:pPr>
      <w:r>
        <w:t>establishing an African Ambassadors program</w:t>
      </w:r>
    </w:p>
    <w:p w:rsidR="0024051E" w:rsidRDefault="0024051E" w:rsidP="007063DF">
      <w:pPr>
        <w:pStyle w:val="ListBullet"/>
      </w:pPr>
      <w:r>
        <w:t>creating an information campaign based on storytelling</w:t>
      </w:r>
    </w:p>
    <w:p w:rsidR="0024051E" w:rsidRDefault="0024051E" w:rsidP="007063DF">
      <w:pPr>
        <w:pStyle w:val="ListBullet"/>
      </w:pPr>
      <w:r>
        <w:t>developing a digital reporting tool to provide new entry points for people to report discrimination or vilification to the Commission.</w:t>
      </w:r>
    </w:p>
    <w:p w:rsidR="0024051E" w:rsidRPr="00485D7B" w:rsidRDefault="0024051E" w:rsidP="00485D7B">
      <w:pPr>
        <w:pStyle w:val="Heading5"/>
        <w:rPr>
          <w:rStyle w:val="Characteritalic"/>
          <w:lang w:eastAsia="en-AU"/>
        </w:rPr>
      </w:pPr>
      <w:r w:rsidRPr="00485D7B">
        <w:rPr>
          <w:rStyle w:val="Characteritalic"/>
          <w:lang w:eastAsia="en-AU"/>
        </w:rPr>
        <w:t>Co-designed education programs and resources</w:t>
      </w:r>
    </w:p>
    <w:p w:rsidR="0024051E" w:rsidRDefault="0024051E" w:rsidP="00CF3E72">
      <w:pPr>
        <w:pStyle w:val="BodyText"/>
      </w:pPr>
      <w:r>
        <w:t xml:space="preserve">The Commission has delivered tailored training programs to community and local government organisations to not only provide information on human rights and equal opportunity, but also to empower participants to deliver their own information sessions. </w:t>
      </w:r>
    </w:p>
    <w:p w:rsidR="0024051E" w:rsidRDefault="0024051E" w:rsidP="00CF3E72">
      <w:pPr>
        <w:pStyle w:val="BodyText"/>
      </w:pPr>
      <w:r>
        <w:t xml:space="preserve">A variety of co-designed programs and resources have been delivered to organisations including: </w:t>
      </w:r>
    </w:p>
    <w:p w:rsidR="0024051E" w:rsidRDefault="0024051E" w:rsidP="007063DF">
      <w:pPr>
        <w:pStyle w:val="ListBullet"/>
      </w:pPr>
      <w:r>
        <w:t xml:space="preserve">Australian Muslim Women’s Centre for Human Rights </w:t>
      </w:r>
    </w:p>
    <w:p w:rsidR="0024051E" w:rsidRDefault="0024051E" w:rsidP="007063DF">
      <w:pPr>
        <w:pStyle w:val="ListBullet"/>
      </w:pPr>
      <w:r>
        <w:t>Ethnic Council of Shepparton and District</w:t>
      </w:r>
    </w:p>
    <w:p w:rsidR="0024051E" w:rsidRDefault="0024051E" w:rsidP="007063DF">
      <w:pPr>
        <w:pStyle w:val="ListBullet"/>
      </w:pPr>
      <w:r>
        <w:t xml:space="preserve">Islamic Council of Victoria </w:t>
      </w:r>
    </w:p>
    <w:p w:rsidR="0024051E" w:rsidRDefault="0024051E" w:rsidP="007063DF">
      <w:pPr>
        <w:pStyle w:val="ListBullet"/>
      </w:pPr>
      <w:r>
        <w:t>City of Whittlesea, City of Darebin and City of Yarra</w:t>
      </w:r>
    </w:p>
    <w:p w:rsidR="0024051E" w:rsidRDefault="0024051E" w:rsidP="00CF3E72">
      <w:pPr>
        <w:pStyle w:val="BodyText"/>
      </w:pPr>
      <w:r>
        <w:t>to provide co-designed and collaborative workshops to members of their culturally diverse communities.</w:t>
      </w:r>
    </w:p>
    <w:p w:rsidR="0024051E" w:rsidRPr="00485D7B" w:rsidRDefault="0024051E" w:rsidP="00CF3E72">
      <w:pPr>
        <w:pStyle w:val="BodyText"/>
        <w:rPr>
          <w:rStyle w:val="Characteritalic"/>
          <w:lang w:eastAsia="en-US"/>
        </w:rPr>
      </w:pPr>
    </w:p>
    <w:p w:rsidR="0024051E" w:rsidRDefault="0024051E" w:rsidP="00CF3E72">
      <w:pPr>
        <w:pStyle w:val="BodyText"/>
      </w:pPr>
      <w:r w:rsidRPr="00485D7B">
        <w:rPr>
          <w:rStyle w:val="Characteritalic"/>
          <w:lang w:eastAsia="en-US"/>
        </w:rPr>
        <w:t>African Ambassador program</w:t>
      </w:r>
    </w:p>
    <w:p w:rsidR="0024051E" w:rsidRDefault="0024051E" w:rsidP="00CF3E72">
      <w:pPr>
        <w:pStyle w:val="BodyText"/>
      </w:pPr>
      <w:r>
        <w:lastRenderedPageBreak/>
        <w:t xml:space="preserve">The Commission partnered with the Nelson Mandela Day Commemorative Committee to deliver a training program to African Victorians aged between 17 and 36. A total of 23 participants received training on leadership skills, conflict resolution, the southern African philosophy of ubuntu and human rights and equal opportunity laws. </w:t>
      </w:r>
    </w:p>
    <w:p w:rsidR="0024051E" w:rsidRDefault="0024051E" w:rsidP="00CF3E72">
      <w:pPr>
        <w:pStyle w:val="BodyText"/>
      </w:pPr>
      <w:r>
        <w:t xml:space="preserve">This was followed by a series of human rights advocacy, storytelling and community engagement skills sessions for 10 participants who wanted to commit to sharing their knowledge to the wider community. A graduation ceremony for the ambassadors was held and attended by key stakeholders from community and government, including the Parliamentary Secretary for Multicultural Affairs Josh Bull. </w:t>
      </w:r>
    </w:p>
    <w:p w:rsidR="0024051E" w:rsidRPr="00485D7B" w:rsidRDefault="0024051E" w:rsidP="00CF3E72">
      <w:pPr>
        <w:pStyle w:val="BodyText"/>
        <w:rPr>
          <w:rStyle w:val="Characteritalic"/>
          <w:lang w:eastAsia="en-US"/>
        </w:rPr>
      </w:pPr>
      <w:r w:rsidRPr="00485D7B">
        <w:rPr>
          <w:rStyle w:val="Characteritalic"/>
          <w:lang w:eastAsia="en-US"/>
        </w:rPr>
        <w:t>Storytelling campaign</w:t>
      </w:r>
    </w:p>
    <w:p w:rsidR="0024051E" w:rsidRDefault="0024051E" w:rsidP="00CF3E72">
      <w:pPr>
        <w:pStyle w:val="BodyText"/>
      </w:pPr>
      <w:r>
        <w:t>In discussions with members of Victoria’s multicultural and multifaith communities, the stories of racism and vilification are powerful and ever-present. Stories like these show how important it is to continue efforts to create a fair, safe and inclusive community, and how important it is to listen to people who experience racism.</w:t>
      </w:r>
    </w:p>
    <w:p w:rsidR="0024051E" w:rsidRDefault="0024051E" w:rsidP="00CF3E72">
      <w:pPr>
        <w:pStyle w:val="BodyText"/>
      </w:pPr>
      <w:r>
        <w:t>The Commission worked with three young African Australians to hear about their everyday experiences of racism and to develop short films to explain the impact these experiences have had. The films give great insight into the issue of racism, and individual and community responses, as well as their vision for a more unified Australia.</w:t>
      </w:r>
    </w:p>
    <w:p w:rsidR="0024051E" w:rsidRPr="00485D7B" w:rsidRDefault="0024051E" w:rsidP="00CF3E72">
      <w:pPr>
        <w:pStyle w:val="BodyText"/>
        <w:rPr>
          <w:rStyle w:val="Characteritalic"/>
          <w:lang w:eastAsia="en-US"/>
        </w:rPr>
      </w:pPr>
      <w:r w:rsidRPr="00485D7B">
        <w:rPr>
          <w:rStyle w:val="Characteritalic"/>
          <w:lang w:eastAsia="en-US"/>
        </w:rPr>
        <w:t>Pilot of a new digital reporting tool</w:t>
      </w:r>
    </w:p>
    <w:p w:rsidR="0024051E" w:rsidRDefault="0024051E" w:rsidP="00CF3E72">
      <w:pPr>
        <w:pStyle w:val="BodyText"/>
      </w:pPr>
      <w:r>
        <w:t>In partnership with Code for Australia, the Commission developed a community reporting tool that provides new pathways for people to access the Commission. The tool is a simple form that is designed to be embedded on the websites of participating community organisations and local councils. The tool allows people visiting those websites to share their experiences of racism and discrimination. These reports are secure, confidential, and delivered directly to the Commission.</w:t>
      </w:r>
    </w:p>
    <w:p w:rsidR="0024051E" w:rsidRDefault="0024051E" w:rsidP="00CF3E72">
      <w:pPr>
        <w:pStyle w:val="BodyText"/>
      </w:pPr>
      <w:r>
        <w:t xml:space="preserve">The community reporting tool was developed with the goal of offering new engagement opportunities and to increase accessibility of the Commission, particularly for people from African and Muslim communities. To date, 14 councils have expressed interest in the tool, and five have made the tool live on their websites. </w:t>
      </w:r>
    </w:p>
    <w:p w:rsidR="0024051E" w:rsidRDefault="0024051E" w:rsidP="00485D7B">
      <w:pPr>
        <w:pStyle w:val="Heading5"/>
      </w:pPr>
      <w:r>
        <w:t>Community partnerships</w:t>
      </w:r>
    </w:p>
    <w:p w:rsidR="0024051E" w:rsidRDefault="0024051E" w:rsidP="00CF3E72">
      <w:pPr>
        <w:pStyle w:val="BodyText"/>
      </w:pPr>
      <w:r>
        <w:t xml:space="preserve">The Commission’s approach to engagement under the MMEAP includes reaching out to community groups and organisations to work together on addressing the issues that affect multicultural and multifaith communities. </w:t>
      </w:r>
    </w:p>
    <w:p w:rsidR="0024051E" w:rsidRDefault="0024051E" w:rsidP="00CF3E72">
      <w:pPr>
        <w:pStyle w:val="BodyText"/>
      </w:pPr>
      <w:r>
        <w:t>During 2018–19 the Commission engaged with many organisations, including as a member of the steering committee for Action on Disability in Ethnic Communities (ADEC), an organisation that addresses intersectionality as it applies to culturally diverse community members who also have lived experience of disability. We assisted with the delivery of human rights education programs across Victoria to vulnerable multicultural and multifaith communities. This has included training ADEC’s multicultural workers to deliver education sessions to these communities.</w:t>
      </w:r>
    </w:p>
    <w:p w:rsidR="0024051E" w:rsidRDefault="0024051E" w:rsidP="00CF3E72">
      <w:pPr>
        <w:pStyle w:val="BodyText"/>
      </w:pPr>
      <w:r>
        <w:lastRenderedPageBreak/>
        <w:t xml:space="preserve">We also contributed to We Stand Together, a long-term project comprising of seven different community stakeholders, including the City of Yarra, to address the persistent and harmful racism incurred by targeted, visible minorities in the municipality of Yarra. </w:t>
      </w:r>
    </w:p>
    <w:p w:rsidR="0024051E" w:rsidRDefault="0024051E" w:rsidP="00CF3E72">
      <w:pPr>
        <w:pStyle w:val="BodyText"/>
      </w:pPr>
      <w:r>
        <w:t xml:space="preserve">The project takes into consideration the racism that people have experienced at several public housing estates in the area and works with community representatives to build their capacity to raise awareness of human and equal opportunity rights, including how to access the Commission’s services. The project was a finalist in the 2018 VicHealth Awards in the ‘Improving mental wellbeing’ category. </w:t>
      </w:r>
    </w:p>
    <w:p w:rsidR="0024051E" w:rsidRDefault="0024051E" w:rsidP="007063DF">
      <w:pPr>
        <w:pStyle w:val="Heading2"/>
      </w:pPr>
      <w:bookmarkStart w:id="12" w:name="_Toc21701403"/>
      <w:r>
        <w:t>Advocate</w:t>
      </w:r>
      <w:bookmarkEnd w:id="12"/>
    </w:p>
    <w:p w:rsidR="0024051E" w:rsidRDefault="0024051E" w:rsidP="00485D7B">
      <w:pPr>
        <w:pStyle w:val="Heading5"/>
      </w:pPr>
      <w:r>
        <w:t>We raise awareness across our communities about the importance of equality and human rights, encouraging meaningful debate, leading public discussion and challenging discriminatory views and behaviours. </w:t>
      </w:r>
    </w:p>
    <w:p w:rsidR="0024051E" w:rsidRDefault="0024051E" w:rsidP="007063DF">
      <w:pPr>
        <w:pStyle w:val="Heading3"/>
      </w:pPr>
      <w:r>
        <w:t>Investigation into mental health discrimination in travel insurance</w:t>
      </w:r>
    </w:p>
    <w:p w:rsidR="0024051E" w:rsidRDefault="0024051E" w:rsidP="00CF3E72">
      <w:pPr>
        <w:pStyle w:val="BodyText"/>
      </w:pPr>
      <w:r>
        <w:t>During 2017–18 the Commission completed its investigation into mental health discrimination in the travel insurance industry. The Commission’s report,</w:t>
      </w:r>
      <w:r w:rsidRPr="00485D7B">
        <w:rPr>
          <w:rStyle w:val="Characteritalic"/>
          <w:lang w:eastAsia="en-US"/>
        </w:rPr>
        <w:t> Fair-minded cover: Investigation into discrimination in the travel insurance industry</w:t>
      </w:r>
      <w:r>
        <w:t>, details the findings of our Investigation, which looked at the compliance of several Australian travel insurers over an eight-month period.</w:t>
      </w:r>
    </w:p>
    <w:p w:rsidR="0024051E" w:rsidRDefault="0024051E" w:rsidP="00CF3E72">
      <w:pPr>
        <w:pStyle w:val="BodyText"/>
      </w:pPr>
      <w:r>
        <w:t>The investigation focused on three companies that made up around 37 per cent of Australia’s travel insurance industry – Allianz &amp; AGA, Suncorp and World Nomads Group.</w:t>
      </w:r>
    </w:p>
    <w:p w:rsidR="0024051E" w:rsidRDefault="0024051E" w:rsidP="00CF3E72">
      <w:pPr>
        <w:pStyle w:val="BodyText"/>
      </w:pPr>
      <w:r>
        <w:t>The investigation found that, in an eight-month period, these travel insurers sold more than 365,000 policies containing terms that discriminated against people with mental health conditions. These insurers were unable to establish that they could rely on any of the available exceptions under the Equal Opportunity Act to lawfully discriminate.</w:t>
      </w:r>
    </w:p>
    <w:p w:rsidR="0024051E" w:rsidRDefault="0024051E" w:rsidP="00CF3E72">
      <w:pPr>
        <w:pStyle w:val="BodyText"/>
      </w:pPr>
      <w:r>
        <w:t>During the investigation, all three insurers committed to changing their practice of issuing travel insurance policies with a blanket mental health exclusion. This means that some of the largest travel insurers in the Australian market will now provide some cover for mental health conditions.</w:t>
      </w:r>
    </w:p>
    <w:p w:rsidR="0024051E" w:rsidRDefault="0024051E" w:rsidP="00CF3E72">
      <w:pPr>
        <w:pStyle w:val="BodyText"/>
      </w:pPr>
      <w:r w:rsidRPr="00485D7B">
        <w:rPr>
          <w:rStyle w:val="Characteritalic"/>
          <w:lang w:eastAsia="en-US"/>
        </w:rPr>
        <w:t>Fair-minded cover</w:t>
      </w:r>
      <w:r>
        <w:t xml:space="preserve"> was released in June 2019 and the Commission worked closely with the travel insurers, insurance industry peak bodies, mental health advocates and financial regulators to ensure the report’s recommendations would help to create fairer treatment for people with mental health conditions. </w:t>
      </w:r>
    </w:p>
    <w:p w:rsidR="0024051E" w:rsidRDefault="0024051E" w:rsidP="00CF3E72">
      <w:pPr>
        <w:pStyle w:val="BodyText"/>
      </w:pPr>
      <w:r>
        <w:t>This was the first time the Commission had used its investigation function under the Equal Opportunity Act – an important mechanism for effecting systemic change.</w:t>
      </w:r>
    </w:p>
    <w:tbl>
      <w:tblPr>
        <w:tblW w:w="0" w:type="auto"/>
        <w:tblLook w:val="04A0" w:firstRow="1" w:lastRow="0" w:firstColumn="1" w:lastColumn="0" w:noHBand="0" w:noVBand="1"/>
      </w:tblPr>
      <w:tblGrid>
        <w:gridCol w:w="9286"/>
      </w:tblGrid>
      <w:tr w:rsidR="00DE0A9E" w:rsidRPr="009549EF" w:rsidTr="009549EF">
        <w:tc>
          <w:tcPr>
            <w:tcW w:w="9286" w:type="dxa"/>
            <w:shd w:val="clear" w:color="auto" w:fill="C5E0B3"/>
          </w:tcPr>
          <w:p w:rsidR="00D45122" w:rsidRPr="009549EF" w:rsidRDefault="00D45122" w:rsidP="00D45122">
            <w:pPr>
              <w:pStyle w:val="Heading3"/>
              <w:rPr>
                <w:lang w:val="en-US"/>
              </w:rPr>
            </w:pPr>
            <w:r w:rsidRPr="009549EF">
              <w:rPr>
                <w:lang w:val="en-US"/>
              </w:rPr>
              <w:lastRenderedPageBreak/>
              <w:t>Why we investigated</w:t>
            </w:r>
          </w:p>
          <w:p w:rsidR="00D45122" w:rsidRPr="009549EF" w:rsidRDefault="00D45122" w:rsidP="00D45122">
            <w:pPr>
              <w:pStyle w:val="BodyText"/>
              <w:rPr>
                <w:lang w:val="en-US"/>
              </w:rPr>
            </w:pPr>
            <w:r w:rsidRPr="009549EF">
              <w:rPr>
                <w:lang w:val="en-US"/>
              </w:rPr>
              <w:t xml:space="preserve">The difficulties that Victorians can face when they buy travel insurance and make a claim because of a mental health condition was exposed in 2015 by a Victorian Civil and Administrative Tribunal decision. Ella Ingram purchased a travel insurance policy for a school trip to New York in 2011. After experiencing symptoms of depression for the first time, Ella decided not to go on the trip. QBE Insurance denied Ella’s claim for the cost of the trip, relying on a blanket mental health exclusion in the travel insurance policy. Although VCAT found that QBE had discriminated against Ella, the insurer refused to change its discriminatory policy. </w:t>
            </w:r>
          </w:p>
          <w:p w:rsidR="00DE0A9E" w:rsidRPr="009549EF" w:rsidRDefault="00D45122" w:rsidP="00CF3E72">
            <w:pPr>
              <w:pStyle w:val="BodyText"/>
              <w:rPr>
                <w:lang w:val="en-US"/>
              </w:rPr>
            </w:pPr>
            <w:r w:rsidRPr="009549EF">
              <w:rPr>
                <w:lang w:val="en-US"/>
              </w:rPr>
              <w:t xml:space="preserve">This issue is not new. Ella’s experience of discrimination added weight to many years of determined advocacy by consumer groups to improve insurance industry practices for people with a mental health condition. However, despite VCAT’s finding, the common practice of travel insurers offering policies with blanket mental health exclusions remained widespread. Aware of the potential for far-reaching discrimination in the industry, the Commission launched this investigation. </w:t>
            </w:r>
          </w:p>
        </w:tc>
      </w:tr>
    </w:tbl>
    <w:p w:rsidR="0024051E" w:rsidRDefault="0024051E" w:rsidP="007063DF">
      <w:pPr>
        <w:pStyle w:val="Heading3"/>
      </w:pPr>
      <w:r>
        <w:t>Events</w:t>
      </w:r>
    </w:p>
    <w:p w:rsidR="0024051E" w:rsidRDefault="0024051E" w:rsidP="00CF3E72">
      <w:pPr>
        <w:pStyle w:val="BodyText"/>
      </w:pPr>
      <w:r>
        <w:t xml:space="preserve">Hosting public events give us the opportunity to meet with the Victorian community to listen to their stories and provide information about rights. </w:t>
      </w:r>
    </w:p>
    <w:p w:rsidR="0024051E" w:rsidRDefault="0024051E" w:rsidP="00CF3E72">
      <w:pPr>
        <w:pStyle w:val="BodyText"/>
      </w:pPr>
      <w:r>
        <w:t xml:space="preserve">Our major annual event, the Human Rights Oration, was delivered in December 2018 by writer Benjamin Law. His speech, titled ‘The kids are alright’, covered the aftermath of his compelling 2017 Quarterly Essay, </w:t>
      </w:r>
      <w:r w:rsidRPr="00485D7B">
        <w:rPr>
          <w:rStyle w:val="Characteritalic"/>
          <w:lang w:eastAsia="en-US"/>
        </w:rPr>
        <w:t>Moral Panic 101, which examined homophobia and bullying in Australia</w:t>
      </w:r>
      <w:r>
        <w:t xml:space="preserve">. Passionate about social justice, he also reflected on the state of human rights in Australia, including the experiences of LGBTIQ young people, and future directions. </w:t>
      </w:r>
    </w:p>
    <w:p w:rsidR="0024051E" w:rsidRDefault="0024051E" w:rsidP="00CF3E72">
      <w:pPr>
        <w:pStyle w:val="BodyText"/>
      </w:pPr>
      <w:r>
        <w:t xml:space="preserve">The oration was held during the Commission’s second annual Human Rights Week, from 10–16 December 2018. The theme of the week was ‘Human Rights Start With You’ and we encouraged workplaces and organisations to hold their own events to acknowledge the importance of human rights in their own communities. In 2018 there were 19 events held for Human Rights Week – twice as many as the previous year – which shows growing interest in support and engagement for the week. </w:t>
      </w:r>
    </w:p>
    <w:p w:rsidR="00DE0A9E" w:rsidRDefault="00DE0A9E" w:rsidP="00DE0A9E">
      <w:pPr>
        <w:pStyle w:val="BodyText"/>
      </w:pPr>
    </w:p>
    <w:tbl>
      <w:tblPr>
        <w:tblW w:w="0" w:type="auto"/>
        <w:tblLook w:val="04A0" w:firstRow="1" w:lastRow="0" w:firstColumn="1" w:lastColumn="0" w:noHBand="0" w:noVBand="1"/>
      </w:tblPr>
      <w:tblGrid>
        <w:gridCol w:w="9286"/>
      </w:tblGrid>
      <w:tr w:rsidR="00DE0A9E" w:rsidRPr="009549EF" w:rsidTr="009549EF">
        <w:tc>
          <w:tcPr>
            <w:tcW w:w="9286" w:type="dxa"/>
            <w:shd w:val="clear" w:color="auto" w:fill="C5E0B3"/>
          </w:tcPr>
          <w:p w:rsidR="00D45122" w:rsidRPr="009549EF" w:rsidRDefault="00D45122" w:rsidP="00D45122">
            <w:pPr>
              <w:pStyle w:val="Heading3"/>
              <w:rPr>
                <w:lang w:val="en-US"/>
              </w:rPr>
            </w:pPr>
            <w:r w:rsidRPr="009549EF">
              <w:rPr>
                <w:lang w:val="en-US"/>
              </w:rPr>
              <w:lastRenderedPageBreak/>
              <w:t>Attending community events</w:t>
            </w:r>
          </w:p>
          <w:p w:rsidR="00D45122" w:rsidRPr="009549EF" w:rsidRDefault="00D45122" w:rsidP="00D45122">
            <w:pPr>
              <w:pStyle w:val="BodyText"/>
              <w:rPr>
                <w:lang w:val="en-US"/>
              </w:rPr>
            </w:pPr>
            <w:r w:rsidRPr="009549EF">
              <w:rPr>
                <w:lang w:val="en-US"/>
              </w:rPr>
              <w:t xml:space="preserve">Community engagement is an important part of work the Commission does to connect with different audiences, demonstrate commitment to supporting communities and help all Victorians understand and exercise their rights. </w:t>
            </w:r>
          </w:p>
          <w:p w:rsidR="00D45122" w:rsidRPr="009549EF" w:rsidRDefault="00D45122" w:rsidP="00D45122">
            <w:pPr>
              <w:pStyle w:val="BodyText"/>
              <w:rPr>
                <w:lang w:val="en-US"/>
              </w:rPr>
            </w:pPr>
            <w:r w:rsidRPr="009549EF">
              <w:rPr>
                <w:lang w:val="en-US"/>
              </w:rPr>
              <w:t>Some key engagements this year included:</w:t>
            </w:r>
          </w:p>
          <w:p w:rsidR="00D45122" w:rsidRPr="009549EF" w:rsidRDefault="00D45122" w:rsidP="00D45122">
            <w:pPr>
              <w:pStyle w:val="ListBullet"/>
              <w:rPr>
                <w:lang w:val="en-US"/>
              </w:rPr>
            </w:pPr>
            <w:r w:rsidRPr="009549EF">
              <w:rPr>
                <w:lang w:val="en-US"/>
              </w:rPr>
              <w:t>Our Choice Expo – as part of the ‘Having a Say’ conference in 2019, held in Geelong, with a focus on people with disability</w:t>
            </w:r>
          </w:p>
          <w:p w:rsidR="00D45122" w:rsidRPr="009549EF" w:rsidRDefault="00D45122" w:rsidP="00D45122">
            <w:pPr>
              <w:pStyle w:val="ListBullet"/>
              <w:rPr>
                <w:lang w:val="en-US"/>
              </w:rPr>
            </w:pPr>
            <w:r w:rsidRPr="009549EF">
              <w:rPr>
                <w:lang w:val="en-US"/>
              </w:rPr>
              <w:t>Midsumma Carnival 2019 – Melbourne’s premier LGBTIQ festival</w:t>
            </w:r>
          </w:p>
          <w:p w:rsidR="00D45122" w:rsidRPr="009549EF" w:rsidRDefault="00D45122" w:rsidP="00D45122">
            <w:pPr>
              <w:pStyle w:val="ListBullet"/>
              <w:rPr>
                <w:lang w:val="en-US"/>
              </w:rPr>
            </w:pPr>
            <w:r w:rsidRPr="009549EF">
              <w:rPr>
                <w:lang w:val="en-US"/>
              </w:rPr>
              <w:t xml:space="preserve">Pride March 2019 – a parade for the LGBTIQ community, their supporters and allies, held as part of Midsumma </w:t>
            </w:r>
          </w:p>
          <w:p w:rsidR="00D45122" w:rsidRPr="009549EF" w:rsidRDefault="00D45122" w:rsidP="00D45122">
            <w:pPr>
              <w:pStyle w:val="ListBullet"/>
              <w:rPr>
                <w:lang w:val="en-US"/>
              </w:rPr>
            </w:pPr>
            <w:r w:rsidRPr="009549EF">
              <w:rPr>
                <w:lang w:val="en-US"/>
              </w:rPr>
              <w:t>Legal Laneways Breakfast – marking the start of the Victorian Legal Year</w:t>
            </w:r>
          </w:p>
          <w:p w:rsidR="00D45122" w:rsidRPr="009549EF" w:rsidRDefault="00D45122" w:rsidP="00D45122">
            <w:pPr>
              <w:pStyle w:val="ListBullet"/>
              <w:rPr>
                <w:lang w:val="en-US"/>
              </w:rPr>
            </w:pPr>
            <w:r w:rsidRPr="009549EF">
              <w:rPr>
                <w:lang w:val="en-US"/>
              </w:rPr>
              <w:t>Law Week – an annual festival of events that is focused on learning about the law and the legal system</w:t>
            </w:r>
          </w:p>
          <w:p w:rsidR="00DE0A9E" w:rsidRPr="009549EF" w:rsidRDefault="00D45122" w:rsidP="00D75F90">
            <w:pPr>
              <w:pStyle w:val="ListBullet"/>
              <w:rPr>
                <w:lang w:val="en-US"/>
              </w:rPr>
            </w:pPr>
            <w:r w:rsidRPr="009549EF">
              <w:rPr>
                <w:lang w:val="en-US"/>
              </w:rPr>
              <w:t>Iftar dinner – in partnership with the Islamic Council of Victoria and held at the City Mosque in West Melbourne to acknowledge Ramadan.</w:t>
            </w:r>
          </w:p>
        </w:tc>
      </w:tr>
    </w:tbl>
    <w:p w:rsidR="0024051E" w:rsidRDefault="0024051E" w:rsidP="007063DF">
      <w:pPr>
        <w:pStyle w:val="Heading3"/>
      </w:pPr>
      <w:r>
        <w:t>Engaging with the media</w:t>
      </w:r>
    </w:p>
    <w:p w:rsidR="0024051E" w:rsidRDefault="0024051E" w:rsidP="00CF3E72">
      <w:pPr>
        <w:pStyle w:val="BodyText"/>
      </w:pPr>
      <w:r>
        <w:t>During 2018–19, the Commission engaged with the media to join public discussions about key human rights issues and to ensure that our campaigns, reports and interventions reached communities throughout Victoria. Data provided by our media monitoring service shows that throughout the year we appeared in the media almost 200 times, reaching 14 million people.</w:t>
      </w:r>
    </w:p>
    <w:p w:rsidR="0024051E" w:rsidRDefault="0024051E" w:rsidP="00CF3E72">
      <w:pPr>
        <w:pStyle w:val="BodyText"/>
      </w:pPr>
      <w:r>
        <w:t xml:space="preserve">As in the year before, discussion of sexual harassment featured prominently in the media during 2018–19 – and we were vocal commentators on this issue. Coinciding with International Women’s Day and our submission to the National Inquiry into Sexual Harassment in Australian Workplaces, we appeared on radio and in print – providing comment in the </w:t>
      </w:r>
      <w:r w:rsidRPr="00485D7B">
        <w:rPr>
          <w:rStyle w:val="Characteritalic"/>
          <w:lang w:eastAsia="en-US"/>
        </w:rPr>
        <w:t>Herald Sun, The Age</w:t>
      </w:r>
      <w:r>
        <w:t xml:space="preserve">, ABC Melbourne and local newspapers – discussing the rise in sexual harassment complaints, gender inequality, the need for stronger legal protections, how discrimination laws could better protect volunteers, and employers’ obligations. </w:t>
      </w:r>
    </w:p>
    <w:p w:rsidR="0024051E" w:rsidRDefault="0024051E" w:rsidP="00CF3E72">
      <w:pPr>
        <w:pStyle w:val="BodyText"/>
      </w:pPr>
      <w:r>
        <w:t xml:space="preserve">The release of </w:t>
      </w:r>
      <w:r w:rsidRPr="00485D7B">
        <w:rPr>
          <w:rStyle w:val="Characteritalic"/>
          <w:lang w:eastAsia="en-US"/>
        </w:rPr>
        <w:t>Fair-minded cover</w:t>
      </w:r>
      <w:r>
        <w:t xml:space="preserve">, the report on our investigation into mental health discrimination in the travel insurance industry, also attracted wide media coverage. It was discussed by national and state-based media on radio, on TV and online, including interviews with the Commissioner on ABC Radio in Melbourne and Sydney, on ABC’s national </w:t>
      </w:r>
      <w:r w:rsidRPr="00485D7B">
        <w:rPr>
          <w:rStyle w:val="Characteritalic"/>
          <w:lang w:eastAsia="en-US"/>
        </w:rPr>
        <w:t>News Breakfast</w:t>
      </w:r>
      <w:r>
        <w:t xml:space="preserve"> TV program and on Triple J’s current affairs program </w:t>
      </w:r>
      <w:r w:rsidRPr="00485D7B">
        <w:rPr>
          <w:rStyle w:val="Characteritalic"/>
          <w:lang w:eastAsia="en-US"/>
        </w:rPr>
        <w:t>Hack</w:t>
      </w:r>
      <w:r>
        <w:t xml:space="preserve">. It was also covered by media in the travel and insurance industries. </w:t>
      </w:r>
    </w:p>
    <w:p w:rsidR="0024051E" w:rsidRDefault="0024051E" w:rsidP="00CF3E72">
      <w:pPr>
        <w:pStyle w:val="BodyText"/>
      </w:pPr>
      <w:r>
        <w:t xml:space="preserve">The May launch of our report </w:t>
      </w:r>
      <w:r w:rsidRPr="00485D7B">
        <w:rPr>
          <w:rStyle w:val="Characteritalic"/>
          <w:lang w:eastAsia="en-US"/>
        </w:rPr>
        <w:t>Proud, visible, safe: Responding to workplace harm experienced by LGBTI employees in Victoria Police</w:t>
      </w:r>
      <w:r>
        <w:t xml:space="preserve"> was supported by a media event at the Victoria Police station in Footscray. It was reported by Channel 9, </w:t>
      </w:r>
      <w:r w:rsidRPr="00485D7B">
        <w:rPr>
          <w:rStyle w:val="Characteritalic"/>
          <w:lang w:eastAsia="en-US"/>
        </w:rPr>
        <w:t>The Age, The Guardian</w:t>
      </w:r>
      <w:r>
        <w:t xml:space="preserve">, ABC Melbourne and Joy FM. </w:t>
      </w:r>
    </w:p>
    <w:p w:rsidR="0024051E" w:rsidRDefault="0024051E" w:rsidP="00CF3E72">
      <w:pPr>
        <w:pStyle w:val="BodyText"/>
      </w:pPr>
      <w:r>
        <w:t>Other key issues we commented on via the media included:</w:t>
      </w:r>
    </w:p>
    <w:p w:rsidR="0024051E" w:rsidRDefault="0024051E" w:rsidP="007063DF">
      <w:pPr>
        <w:pStyle w:val="ListBullet"/>
      </w:pPr>
      <w:r>
        <w:t xml:space="preserve">religious exceptions under Victoria’s Equal Opportunity Act and how they apply to education and recruitment </w:t>
      </w:r>
    </w:p>
    <w:p w:rsidR="0024051E" w:rsidRDefault="0024051E" w:rsidP="007063DF">
      <w:pPr>
        <w:pStyle w:val="ListBullet"/>
      </w:pPr>
      <w:r>
        <w:lastRenderedPageBreak/>
        <w:t>Aboriginal cultural rights under the Charter and our intervention in the coronial inquest into the death of Tanya Day</w:t>
      </w:r>
    </w:p>
    <w:p w:rsidR="0024051E" w:rsidRDefault="0024051E" w:rsidP="007063DF">
      <w:pPr>
        <w:pStyle w:val="ListBullet"/>
      </w:pPr>
      <w:r>
        <w:t>the Charter’s role in protecting human rights and the legacy of the Holocaust</w:t>
      </w:r>
    </w:p>
    <w:p w:rsidR="0024051E" w:rsidRDefault="0024051E" w:rsidP="007063DF">
      <w:pPr>
        <w:pStyle w:val="ListBullet"/>
      </w:pPr>
      <w:r>
        <w:t xml:space="preserve">the 88 per cent increase in race discrimination complaints we saw in 2017–18 </w:t>
      </w:r>
    </w:p>
    <w:p w:rsidR="0024051E" w:rsidRDefault="0024051E" w:rsidP="007063DF">
      <w:pPr>
        <w:pStyle w:val="ListBullet"/>
      </w:pPr>
      <w:r>
        <w:t>our vision for a human rights culture in Victoria during 2019.</w:t>
      </w:r>
    </w:p>
    <w:p w:rsidR="0024051E" w:rsidRDefault="0024051E" w:rsidP="007063DF">
      <w:pPr>
        <w:pStyle w:val="Heading3"/>
      </w:pPr>
      <w:r>
        <w:t>Social media</w:t>
      </w:r>
    </w:p>
    <w:p w:rsidR="0024051E" w:rsidRDefault="0024051E" w:rsidP="00CF3E72">
      <w:pPr>
        <w:pStyle w:val="BodyText"/>
      </w:pPr>
      <w:r>
        <w:t>An important part of the Commission’s engagement comes from social media. Our social media channels, including Facebook, Twitter and LinkedIn, are used as an integral part of our communications and allow us to broadcast our messages, amplify the voices of others, and engage with the community online. </w:t>
      </w:r>
    </w:p>
    <w:p w:rsidR="0024051E" w:rsidRDefault="0024051E" w:rsidP="00CF3E72">
      <w:pPr>
        <w:pStyle w:val="BodyText"/>
      </w:pPr>
      <w:r>
        <w:t xml:space="preserve">Across all our platforms we have a total of </w:t>
      </w:r>
      <w:r w:rsidRPr="007063DF">
        <w:rPr>
          <w:rStyle w:val="Characterbold"/>
          <w:lang w:eastAsia="en-US"/>
        </w:rPr>
        <w:t>13,466 fans,</w:t>
      </w:r>
      <w:r>
        <w:t xml:space="preserve"> and people engaged with our content </w:t>
      </w:r>
      <w:r w:rsidRPr="007063DF">
        <w:rPr>
          <w:rStyle w:val="Characterbold"/>
          <w:lang w:eastAsia="en-US"/>
        </w:rPr>
        <w:t>43,955 times</w:t>
      </w:r>
      <w:r>
        <w:t xml:space="preserve">. We produce a range of multimedia content, including videos, infographics and images to further our engagement with the Victorian community. </w:t>
      </w:r>
    </w:p>
    <w:p w:rsidR="0024051E" w:rsidRPr="007063DF" w:rsidRDefault="0024051E" w:rsidP="00CF3E72">
      <w:pPr>
        <w:pStyle w:val="BodyText"/>
        <w:rPr>
          <w:rStyle w:val="Characterbold"/>
          <w:lang w:eastAsia="en-US"/>
        </w:rPr>
      </w:pPr>
      <w:r w:rsidRPr="007063DF">
        <w:rPr>
          <w:rStyle w:val="Characterbold"/>
          <w:lang w:eastAsia="en-US"/>
        </w:rPr>
        <w:t>Find us at:</w:t>
      </w:r>
    </w:p>
    <w:p w:rsidR="0024051E" w:rsidRDefault="0024051E" w:rsidP="00CF3E72">
      <w:pPr>
        <w:pStyle w:val="BodyText"/>
      </w:pPr>
      <w:r w:rsidRPr="007063DF">
        <w:rPr>
          <w:rStyle w:val="Characterbold"/>
          <w:lang w:eastAsia="en-US"/>
        </w:rPr>
        <w:t>Facebook</w:t>
      </w:r>
      <w:r>
        <w:t xml:space="preserve"> </w:t>
      </w:r>
      <w:r w:rsidRPr="00D75F90">
        <w:rPr>
          <w:rStyle w:val="Hyperlink"/>
        </w:rPr>
        <w:t>facebook.com/veohrc</w:t>
      </w:r>
      <w:r>
        <w:t xml:space="preserve"> </w:t>
      </w:r>
    </w:p>
    <w:p w:rsidR="0024051E" w:rsidRDefault="0024051E" w:rsidP="00CF3E72">
      <w:pPr>
        <w:pStyle w:val="BodyText"/>
      </w:pPr>
      <w:r w:rsidRPr="007063DF">
        <w:rPr>
          <w:rStyle w:val="Characterbold"/>
          <w:lang w:eastAsia="en-US"/>
        </w:rPr>
        <w:t>Twitter</w:t>
      </w:r>
      <w:r>
        <w:t xml:space="preserve"> </w:t>
      </w:r>
      <w:r w:rsidRPr="00D75F90">
        <w:rPr>
          <w:rStyle w:val="Hyperlink"/>
        </w:rPr>
        <w:t>@veohrc</w:t>
      </w:r>
      <w:r>
        <w:t xml:space="preserve"> and </w:t>
      </w:r>
      <w:r w:rsidRPr="00D75F90">
        <w:rPr>
          <w:rStyle w:val="Hyperlink"/>
        </w:rPr>
        <w:t>@kristenahilton</w:t>
      </w:r>
    </w:p>
    <w:p w:rsidR="0024051E" w:rsidRDefault="0024051E" w:rsidP="00CF3E72">
      <w:pPr>
        <w:pStyle w:val="BodyText"/>
      </w:pPr>
      <w:r w:rsidRPr="007063DF">
        <w:rPr>
          <w:rStyle w:val="Characterbold"/>
          <w:lang w:eastAsia="en-US"/>
        </w:rPr>
        <w:t>YouTube</w:t>
      </w:r>
      <w:r>
        <w:t xml:space="preserve"> </w:t>
      </w:r>
      <w:r w:rsidRPr="00D75F90">
        <w:rPr>
          <w:rStyle w:val="Hyperlink"/>
        </w:rPr>
        <w:t>youtube.com/veohrc</w:t>
      </w:r>
    </w:p>
    <w:p w:rsidR="0024051E" w:rsidRDefault="0024051E" w:rsidP="00CF3E72">
      <w:pPr>
        <w:pStyle w:val="BodyText"/>
      </w:pPr>
      <w:r w:rsidRPr="007063DF">
        <w:rPr>
          <w:rStyle w:val="Characterbold"/>
          <w:lang w:eastAsia="en-US"/>
        </w:rPr>
        <w:t>LinkedIn</w:t>
      </w:r>
      <w:r>
        <w:t xml:space="preserve"> </w:t>
      </w:r>
      <w:r w:rsidRPr="00D75F90">
        <w:rPr>
          <w:rStyle w:val="Hyperlink"/>
        </w:rPr>
        <w:t>bit.ly/LI_veohrc</w:t>
      </w:r>
    </w:p>
    <w:p w:rsidR="0024051E" w:rsidRDefault="0024051E" w:rsidP="007063DF">
      <w:pPr>
        <w:pStyle w:val="Heading3"/>
      </w:pPr>
      <w:r>
        <w:t>Submissions</w:t>
      </w:r>
    </w:p>
    <w:p w:rsidR="0024051E" w:rsidRDefault="0024051E" w:rsidP="007063DF">
      <w:pPr>
        <w:pStyle w:val="Heading4"/>
      </w:pPr>
      <w:r>
        <w:t>Submission to the Royal Commission into Misconduct in the Banking, Superannuation and Financial Services Industry</w:t>
      </w:r>
    </w:p>
    <w:p w:rsidR="0024051E" w:rsidRDefault="0024051E" w:rsidP="00CF3E72">
      <w:pPr>
        <w:pStyle w:val="BodyText"/>
      </w:pPr>
      <w:r>
        <w:t>In October 2018 the Commission made a submission to the Royal Commission into Misconduct in the Banking, Superannuation and Financial Services Industry, to inform it of the important framework that discrimination law provides regarding insurer conduct, specifically with respect to people with a disability.</w:t>
      </w:r>
    </w:p>
    <w:p w:rsidR="0024051E" w:rsidRDefault="0024051E" w:rsidP="00CF3E72">
      <w:pPr>
        <w:pStyle w:val="BodyText"/>
      </w:pPr>
      <w:r>
        <w:t>In our submission we urged the Royal Commission to consider the role of discrimination law as part of the inquiry, stressing that anti-discrimination regulators need to have robust and fit-for-purpose regulatory mechanisms to ensure those more vulnerable in our community, such as people with a disability, have fair and lawful access to financial services.</w:t>
      </w:r>
    </w:p>
    <w:p w:rsidR="0024051E" w:rsidRDefault="0024051E" w:rsidP="007063DF">
      <w:pPr>
        <w:pStyle w:val="Heading4"/>
      </w:pPr>
      <w:r>
        <w:t xml:space="preserve">Submission to the Australian Human Rights Commission’s National Inquiry into Sexual Harassment in Australian Workplaces </w:t>
      </w:r>
    </w:p>
    <w:p w:rsidR="0024051E" w:rsidRDefault="0024051E" w:rsidP="00CF3E72">
      <w:pPr>
        <w:pStyle w:val="BodyText"/>
      </w:pPr>
      <w:r>
        <w:t xml:space="preserve">In February 2019 the Commission provided a submission to the Australian Human Rights Commission’s national inquiry on workplace sexual harassment. </w:t>
      </w:r>
    </w:p>
    <w:p w:rsidR="0024051E" w:rsidRDefault="0024051E" w:rsidP="00CF3E72">
      <w:pPr>
        <w:pStyle w:val="BodyText"/>
      </w:pPr>
      <w:r>
        <w:t>The submission focused on improving Victoria’s regulation of sexual harassment, primarily by recommending reforms to the Equal Opportunity Act to reinstate and strengthen the Commission’s powers to enforce employers’ positive duty to prevent and address sexual harassment.</w:t>
      </w:r>
    </w:p>
    <w:p w:rsidR="0024051E" w:rsidRDefault="0024051E" w:rsidP="00CF3E72">
      <w:pPr>
        <w:pStyle w:val="BodyText"/>
      </w:pPr>
      <w:r>
        <w:lastRenderedPageBreak/>
        <w:t xml:space="preserve">Recommendations were also made in relation to strengthening prevention and response, for example through investment in victim-centred complaints, processes and education. In all, we made 15 recommendations to Commonwealth, state and territory governments, as well as other agencies with oversight of workplace sexual harassment issues. </w:t>
      </w:r>
    </w:p>
    <w:p w:rsidR="0024051E" w:rsidRDefault="0024051E" w:rsidP="007063DF">
      <w:pPr>
        <w:pStyle w:val="Heading4"/>
      </w:pPr>
      <w:r>
        <w:t>Submission to the Victorian Government on its Gender Equality Bill exposure draft</w:t>
      </w:r>
    </w:p>
    <w:p w:rsidR="0024051E" w:rsidRDefault="0024051E" w:rsidP="00CF3E72">
      <w:pPr>
        <w:pStyle w:val="BodyText"/>
      </w:pPr>
      <w:r>
        <w:t xml:space="preserve">In October 2018 the Commission made a submission to the Victorian Government in relation to its Gender Equality Bill exposure draft. Our submission highlights important opportunities to strengthen the Bill to ensure it is consistent with human rights obligations and leading best practice. </w:t>
      </w:r>
    </w:p>
    <w:p w:rsidR="0024051E" w:rsidRDefault="0024051E" w:rsidP="00CF3E72">
      <w:pPr>
        <w:pStyle w:val="BodyText"/>
      </w:pPr>
      <w:r>
        <w:t xml:space="preserve">Key recommendations include that: </w:t>
      </w:r>
    </w:p>
    <w:p w:rsidR="0024051E" w:rsidRDefault="0024051E" w:rsidP="007063DF">
      <w:pPr>
        <w:pStyle w:val="ListBullet"/>
      </w:pPr>
      <w:r>
        <w:t>the legislation should include a robust definition of the term ‘gender’, be inclusive of intersex and trans and gender diverse people and capture intersectional experiences of discrimination and gender inequality</w:t>
      </w:r>
    </w:p>
    <w:p w:rsidR="0024051E" w:rsidRDefault="0024051E" w:rsidP="007063DF">
      <w:pPr>
        <w:pStyle w:val="ListBullet"/>
      </w:pPr>
      <w:r>
        <w:t xml:space="preserve">the objectives of the legislation should be strengthened by aligning them more closely with those in the Equal Opportunity Act, </w:t>
      </w:r>
      <w:r w:rsidRPr="00485D7B">
        <w:rPr>
          <w:rStyle w:val="Characteritalic"/>
          <w:lang w:eastAsia="en-GB"/>
        </w:rPr>
        <w:t>the Workplace Gender Equality Act 2012</w:t>
      </w:r>
      <w:r>
        <w:t xml:space="preserve"> (Cth) and the</w:t>
      </w:r>
      <w:r w:rsidRPr="00485D7B">
        <w:rPr>
          <w:rStyle w:val="Characteritalic"/>
          <w:lang w:eastAsia="en-GB"/>
        </w:rPr>
        <w:t xml:space="preserve"> Sex Discrimination Act 1984</w:t>
      </w:r>
      <w:r>
        <w:t xml:space="preserve"> (Cth)</w:t>
      </w:r>
    </w:p>
    <w:p w:rsidR="0024051E" w:rsidRDefault="0024051E" w:rsidP="007063DF">
      <w:pPr>
        <w:pStyle w:val="ListBullet"/>
      </w:pPr>
      <w:r>
        <w:t>there should be a single list of minimum standards that defined entities must address in their Gender Equality Action Plans</w:t>
      </w:r>
    </w:p>
    <w:p w:rsidR="0024051E" w:rsidRDefault="0024051E" w:rsidP="007063DF">
      <w:pPr>
        <w:pStyle w:val="ListBullet"/>
      </w:pPr>
      <w:r>
        <w:t>an agency independent of government should oversee the implementation of the legislation</w:t>
      </w:r>
    </w:p>
    <w:p w:rsidR="0024051E" w:rsidRDefault="0024051E" w:rsidP="007063DF">
      <w:pPr>
        <w:pStyle w:val="ListBullet"/>
      </w:pPr>
      <w:r>
        <w:t>there should be robust complementary legislation to create an enabling environment for gender equality.</w:t>
      </w:r>
    </w:p>
    <w:p w:rsidR="0024051E" w:rsidRDefault="0024051E" w:rsidP="007063DF">
      <w:pPr>
        <w:pStyle w:val="Heading4"/>
      </w:pPr>
      <w:r>
        <w:t>Submission to the Royal Commission into Victoria’s Mental Health System Terms of Reference</w:t>
      </w:r>
    </w:p>
    <w:p w:rsidR="0024051E" w:rsidRDefault="0024051E" w:rsidP="00CF3E72">
      <w:pPr>
        <w:pStyle w:val="BodyText"/>
      </w:pPr>
      <w:r>
        <w:t>In January 2019 the Commission made a submission in relation to the Terms of Reference of the Royal Commission into Victoria’s Mental Health System. We recommended that the Terms of Reference address:</w:t>
      </w:r>
    </w:p>
    <w:p w:rsidR="0024051E" w:rsidRDefault="0024051E" w:rsidP="007063DF">
      <w:pPr>
        <w:pStyle w:val="ListBullet"/>
      </w:pPr>
      <w:r>
        <w:t>discrimination against, and other violations of the rights of, people with mental illness</w:t>
      </w:r>
    </w:p>
    <w:p w:rsidR="0024051E" w:rsidRDefault="0024051E" w:rsidP="007063DF">
      <w:pPr>
        <w:pStyle w:val="ListBullet"/>
      </w:pPr>
      <w:r>
        <w:t>the role of Victoria’s equal opportunity and human rights laws in improving the lives of people with mental illness.</w:t>
      </w:r>
    </w:p>
    <w:p w:rsidR="0024051E" w:rsidRDefault="0024051E" w:rsidP="00CF3E72">
      <w:pPr>
        <w:pStyle w:val="BodyText"/>
      </w:pPr>
      <w:r>
        <w:t>Recent work the Commission has undertaken in areas such the insurance industry, human rights in closed environments, disability in the education system, and Aboriginal cultural rights make it clear that discrimination and human rights issues have a substantial impact on mental health.</w:t>
      </w:r>
    </w:p>
    <w:p w:rsidR="0024051E" w:rsidRDefault="0024051E" w:rsidP="00CF3E72">
      <w:pPr>
        <w:pStyle w:val="BodyText"/>
      </w:pPr>
      <w:r>
        <w:t xml:space="preserve">The Commission provided a submission to the Royal Commission into Victoria’s Mental Health System in July 2019. </w:t>
      </w:r>
    </w:p>
    <w:p w:rsidR="0024051E" w:rsidRDefault="0024051E" w:rsidP="007063DF">
      <w:pPr>
        <w:pStyle w:val="Heading4"/>
      </w:pPr>
      <w:r>
        <w:t>Submission to the Australian Human Rights Commission’s OPCAT Implementation in Australia Consultation – Stage 2</w:t>
      </w:r>
    </w:p>
    <w:p w:rsidR="0024051E" w:rsidRDefault="0024051E" w:rsidP="00CF3E72">
      <w:pPr>
        <w:pStyle w:val="BodyText"/>
      </w:pPr>
      <w:r>
        <w:t xml:space="preserve">In September 2018 the Commission hosted a round table discussion in collaboration with the Australian Human Rights Commission and provided a submission to the </w:t>
      </w:r>
      <w:r>
        <w:lastRenderedPageBreak/>
        <w:t xml:space="preserve">second stage of their consultation regarding the implementation of the </w:t>
      </w:r>
      <w:r w:rsidRPr="00485D7B">
        <w:rPr>
          <w:rStyle w:val="Characteritalic"/>
          <w:lang w:eastAsia="en-US"/>
        </w:rPr>
        <w:t>Optional Protocol to the Convention Against Torture</w:t>
      </w:r>
      <w:r>
        <w:t xml:space="preserve"> (OPCAT) in Australia. Effectively implemented, OPCAT will assist in the implementation of the United Nations Convention against Torture and Other Cruel, Inhuman or Degrading Treatment or Punishment by preventing the mistreatment of people in closed environments. </w:t>
      </w:r>
    </w:p>
    <w:p w:rsidR="0024051E" w:rsidRDefault="0024051E" w:rsidP="00CF3E72">
      <w:pPr>
        <w:pStyle w:val="BodyText"/>
      </w:pPr>
      <w:r>
        <w:t xml:space="preserve">The roundtable was attended by over 30 representatives from government, oversight agencies, and civil society. Attendees provided significant insight into the questions and proposals raised in relation to best practice implementation in Victoria. </w:t>
      </w:r>
    </w:p>
    <w:p w:rsidR="0024051E" w:rsidRDefault="0024051E" w:rsidP="007063DF">
      <w:pPr>
        <w:pStyle w:val="Heading3"/>
      </w:pPr>
      <w:r>
        <w:t>Consultation and committees</w:t>
      </w:r>
    </w:p>
    <w:p w:rsidR="0024051E" w:rsidRDefault="0024051E" w:rsidP="007063DF">
      <w:pPr>
        <w:pStyle w:val="Heading4"/>
      </w:pPr>
      <w:r>
        <w:t>Disability Reference Group</w:t>
      </w:r>
    </w:p>
    <w:p w:rsidR="0024051E" w:rsidRDefault="0024051E" w:rsidP="00CF3E72">
      <w:pPr>
        <w:pStyle w:val="BodyText"/>
      </w:pPr>
      <w:r>
        <w:t>The Commission established a Disability Reference Group in 2004 to hear directly from people with disabilities about systemic discrimination and human rights issues to help better understand the problems and try and find solutions.</w:t>
      </w:r>
    </w:p>
    <w:p w:rsidR="0024051E" w:rsidRDefault="0024051E" w:rsidP="00CF3E72">
      <w:pPr>
        <w:pStyle w:val="BodyText"/>
      </w:pPr>
      <w:r>
        <w:t>The group includes members who have direct and indirect experience of disability who provide advice about making our services useful and accessible for people with disability, as well as helping us implement our strategic priorities in ways that include the perspectives of people with disability.</w:t>
      </w:r>
    </w:p>
    <w:p w:rsidR="0024051E" w:rsidRDefault="0024051E" w:rsidP="00CF3E72">
      <w:pPr>
        <w:pStyle w:val="BodyText"/>
      </w:pPr>
      <w:r>
        <w:t>The 2016–2018 group concluded in late 2018. Key issues discussed by the group during their term included: accessibility of the Victorian electoral process; OPCAT implementation; accessible employment opportunities; the Victorian justice system; and a discussion of the work of the UN Special Rapporteur on the Rights of Persons with Disabilities. The group also advised on our Disability Action Plan.</w:t>
      </w:r>
    </w:p>
    <w:p w:rsidR="0024051E" w:rsidRDefault="0024051E" w:rsidP="00CF3E72">
      <w:pPr>
        <w:pStyle w:val="BodyText"/>
      </w:pPr>
      <w:r>
        <w:t>The Commission looks forward to working with the next group, with recruitment due to commence next year.</w:t>
      </w:r>
    </w:p>
    <w:p w:rsidR="0024051E" w:rsidRDefault="0024051E" w:rsidP="007063DF">
      <w:pPr>
        <w:pStyle w:val="Heading4"/>
      </w:pPr>
      <w:r>
        <w:t>Aboriginal Justice Agreement and participation in Aboriginal Justice Forums and the Youth Justice Steering Committee</w:t>
      </w:r>
    </w:p>
    <w:p w:rsidR="0024051E" w:rsidRDefault="0024051E" w:rsidP="00CF3E72">
      <w:pPr>
        <w:pStyle w:val="BodyText"/>
      </w:pPr>
      <w:r>
        <w:t xml:space="preserve">The Commission has continued to participate in Aboriginal Justice Forums, and the Aboriginal Youth Justice Steering Committee. </w:t>
      </w:r>
    </w:p>
    <w:p w:rsidR="0024051E" w:rsidRDefault="0024051E" w:rsidP="00CF3E72">
      <w:pPr>
        <w:pStyle w:val="BodyText"/>
      </w:pPr>
      <w:r>
        <w:t>The Aboriginal Justice Forum is responsible for overseeing the development, implementation and direction of the fourth Aboriginal Justice Agreement ‘</w:t>
      </w:r>
      <w:r w:rsidRPr="00485D7B">
        <w:rPr>
          <w:rStyle w:val="Characteritalic"/>
          <w:lang w:eastAsia="en-US"/>
        </w:rPr>
        <w:t>Burra Lotjpa Dunguludja</w:t>
      </w:r>
      <w:r>
        <w:t>’. The forum provides an opportunity to monitor the development of the agreement, respond to any challenges concerning its implementation, and ensure that it remains responsive and adaptable to Aboriginal justice issues.</w:t>
      </w:r>
    </w:p>
    <w:p w:rsidR="0024051E" w:rsidRDefault="0024051E" w:rsidP="00CF3E72">
      <w:pPr>
        <w:pStyle w:val="BodyText"/>
      </w:pPr>
      <w:r>
        <w:t>The Commission regularly provides updates to the forum on its work to raise awareness and use of cultural rights by the Aboriginal community and respect of cultural rights by public authorities.</w:t>
      </w:r>
    </w:p>
    <w:p w:rsidR="0024051E" w:rsidRDefault="0024051E" w:rsidP="00CF3E72">
      <w:pPr>
        <w:pStyle w:val="BodyText"/>
      </w:pPr>
      <w:r>
        <w:t xml:space="preserve">The Aboriginal Youth Justice Strategy is being developed in response to the recommendations of the ‘Meeting needs and reducing offending: Youth Justice review and strategy’ and forms part of the youth justice commitments under the Aboriginal Justice Agreement. The development of the first Aboriginal Youth Justice Strategy is an important step in meeting this challenge, and in working towards long term reform and change. The Youth Justice Steering Committee supports the </w:t>
      </w:r>
      <w:r>
        <w:lastRenderedPageBreak/>
        <w:t xml:space="preserve">development of the Aboriginal Youth Justice Strategy to address the over representation of Aboriginal children and youth in the justice system and further self-determination. </w:t>
      </w:r>
    </w:p>
    <w:p w:rsidR="0024051E" w:rsidRDefault="0024051E" w:rsidP="007063DF">
      <w:pPr>
        <w:pStyle w:val="Heading4"/>
      </w:pPr>
      <w:r>
        <w:t>Consultation Across Government and Community</w:t>
      </w:r>
    </w:p>
    <w:p w:rsidR="0024051E" w:rsidRDefault="0024051E" w:rsidP="00CF3E72">
      <w:pPr>
        <w:pStyle w:val="BodyText"/>
      </w:pPr>
      <w:r>
        <w:t>The Commission participates in a range of consultative committees across government and community services, including:</w:t>
      </w:r>
    </w:p>
    <w:p w:rsidR="0024051E" w:rsidRDefault="0024051E" w:rsidP="007063DF">
      <w:pPr>
        <w:pStyle w:val="ListBullet"/>
      </w:pPr>
      <w:r>
        <w:t xml:space="preserve">the </w:t>
      </w:r>
      <w:r w:rsidRPr="007063DF">
        <w:rPr>
          <w:rStyle w:val="Characterbold"/>
          <w:lang w:eastAsia="en-GB"/>
        </w:rPr>
        <w:t>Expert Advisory Group for the Victorian Government’s Anti-Racism Action Plan</w:t>
      </w:r>
      <w:r>
        <w:t xml:space="preserve"> with a focus on anti-Semitism and Islamophobia</w:t>
      </w:r>
    </w:p>
    <w:p w:rsidR="0024051E" w:rsidRDefault="0024051E" w:rsidP="007063DF">
      <w:pPr>
        <w:pStyle w:val="ListBullet"/>
      </w:pPr>
      <w:r w:rsidRPr="007063DF">
        <w:rPr>
          <w:rStyle w:val="Characterbold"/>
          <w:lang w:eastAsia="en-GB"/>
        </w:rPr>
        <w:t>Anti-Racism Action Plan Working Group</w:t>
      </w:r>
      <w:r>
        <w:t xml:space="preserve"> with the Department of Premier and Cabinet</w:t>
      </w:r>
    </w:p>
    <w:p w:rsidR="0024051E" w:rsidRDefault="0024051E" w:rsidP="007063DF">
      <w:pPr>
        <w:pStyle w:val="ListBullet"/>
      </w:pPr>
      <w:r w:rsidRPr="007063DF">
        <w:rPr>
          <w:rStyle w:val="Characterbold"/>
          <w:lang w:eastAsia="en-GB"/>
        </w:rPr>
        <w:t>LGBTI Justice Working Group</w:t>
      </w:r>
      <w:r>
        <w:t xml:space="preserve"> with the Department of Justice and Community Safety</w:t>
      </w:r>
    </w:p>
    <w:p w:rsidR="0024051E" w:rsidRDefault="0024051E" w:rsidP="007063DF">
      <w:pPr>
        <w:pStyle w:val="ListBullet"/>
      </w:pPr>
      <w:r>
        <w:t xml:space="preserve">the </w:t>
      </w:r>
      <w:r w:rsidRPr="007063DF">
        <w:rPr>
          <w:rStyle w:val="Characterbold"/>
          <w:lang w:eastAsia="en-GB"/>
        </w:rPr>
        <w:t>Koorie Youth Council Ngaga-dji working group</w:t>
      </w:r>
      <w:r>
        <w:t xml:space="preserve"> discussing youth justice issues </w:t>
      </w:r>
    </w:p>
    <w:p w:rsidR="0024051E" w:rsidRDefault="0024051E" w:rsidP="007063DF">
      <w:pPr>
        <w:pStyle w:val="ListBullet"/>
      </w:pPr>
      <w:r>
        <w:t xml:space="preserve">the </w:t>
      </w:r>
      <w:r w:rsidRPr="007063DF">
        <w:rPr>
          <w:rStyle w:val="Characterbold"/>
          <w:lang w:eastAsia="en-GB"/>
        </w:rPr>
        <w:t>Chief Commissioner of Victoria Police’s Human Rights Strategic Advisory Committee</w:t>
      </w:r>
      <w:r>
        <w:t>, which is aimed at bringing a high-level stakeholder perspective to the monitoring of Victoria Police’s commitment to and demonstration of our respect for human rights</w:t>
      </w:r>
    </w:p>
    <w:p w:rsidR="0024051E" w:rsidRDefault="0024051E" w:rsidP="007063DF">
      <w:pPr>
        <w:pStyle w:val="ListBullet"/>
      </w:pPr>
      <w:r w:rsidRPr="007063DF">
        <w:rPr>
          <w:rStyle w:val="Characterbold"/>
          <w:lang w:eastAsia="en-GB"/>
        </w:rPr>
        <w:t>Victoria Police’s Disability and LGBTI Portfolio Reference Groups</w:t>
      </w:r>
      <w:r>
        <w:t>, which provide advice, expertise and feedback to assist Victoria Police in their engagement with diverse communities</w:t>
      </w:r>
    </w:p>
    <w:p w:rsidR="0024051E" w:rsidRDefault="0024051E" w:rsidP="007063DF">
      <w:pPr>
        <w:pStyle w:val="ListBullet"/>
      </w:pPr>
      <w:r>
        <w:t xml:space="preserve">the </w:t>
      </w:r>
      <w:r w:rsidRPr="007063DF">
        <w:rPr>
          <w:rStyle w:val="Characterbold"/>
          <w:lang w:eastAsia="en-GB"/>
        </w:rPr>
        <w:t>Law Institute of Victoria Disability Committee</w:t>
      </w:r>
    </w:p>
    <w:p w:rsidR="0024051E" w:rsidRDefault="0024051E" w:rsidP="007063DF">
      <w:pPr>
        <w:pStyle w:val="ListBullet"/>
      </w:pPr>
      <w:r w:rsidRPr="007063DF">
        <w:rPr>
          <w:rStyle w:val="Characterbold"/>
          <w:lang w:eastAsia="en-GB"/>
        </w:rPr>
        <w:t>Ministerial Council for Women’s Equality</w:t>
      </w:r>
      <w:r>
        <w:t xml:space="preserve">, chaired by the Minister for Women and Minister for the Prevention of Family Violence. The Council’s purpose is to progress the development and implementation of the policy agenda under Victoria’s gender equality strategy ‘Safe and Strong’ </w:t>
      </w:r>
    </w:p>
    <w:p w:rsidR="0024051E" w:rsidRDefault="0024051E" w:rsidP="007063DF">
      <w:pPr>
        <w:pStyle w:val="ListBullet"/>
      </w:pPr>
      <w:r>
        <w:t xml:space="preserve">the </w:t>
      </w:r>
      <w:r w:rsidRPr="007063DF">
        <w:rPr>
          <w:rStyle w:val="Characterbold"/>
          <w:lang w:eastAsia="en-GB"/>
        </w:rPr>
        <w:t>Ministerial Taskforce on the Prevention of Family Violence and Violence against Women</w:t>
      </w:r>
      <w:r>
        <w:t xml:space="preserve"> (‘Prevention Taskforce’). The purpose of this taskforce is ongoing co-design, engagement and advice on the implementation of ‘Free from Violence: Victoria’s Strategy for the prevention of family violence and violence against women’ and the future priorities for primary prevention</w:t>
      </w:r>
    </w:p>
    <w:p w:rsidR="0024051E" w:rsidRDefault="0024051E" w:rsidP="007063DF">
      <w:pPr>
        <w:pStyle w:val="ListBullet"/>
      </w:pPr>
      <w:r w:rsidRPr="007063DF">
        <w:rPr>
          <w:rStyle w:val="Characterbold"/>
          <w:lang w:eastAsia="en-GB"/>
        </w:rPr>
        <w:t>roundtable on religious freedoms,</w:t>
      </w:r>
      <w:r>
        <w:t xml:space="preserve"> co-hosted with the Australian Human Rights Commissioner, Ed Santow. Members of several faith groups attended to discuss the problems and potential solutions to the discrimination and vilification faced by members of their faith. The Commission will use the discussion to help inform its position on religious and racial vilification including hate speech, and in future law reform advocacy and research</w:t>
      </w:r>
    </w:p>
    <w:p w:rsidR="0024051E" w:rsidRDefault="0024051E" w:rsidP="007063DF">
      <w:pPr>
        <w:pStyle w:val="ListBullet"/>
      </w:pPr>
      <w:r w:rsidRPr="007063DF">
        <w:rPr>
          <w:rStyle w:val="Characterbold"/>
          <w:lang w:eastAsia="en-GB"/>
        </w:rPr>
        <w:t>the Equal Workplaces Advisory Council</w:t>
      </w:r>
      <w:r>
        <w:t xml:space="preserve"> (EWAC). EWAC’s vision is to achieve gender pay equity in all Victorian workplaces. EWAC’s purpose is to use its unique collective strength, knowledge and experience to guide and advocate to the Victorian Government and to Victorian industry and employers, practical and tangible ways to achieve gender pay equity in Victorian workplaces</w:t>
      </w:r>
    </w:p>
    <w:p w:rsidR="0024051E" w:rsidRDefault="0024051E" w:rsidP="007063DF">
      <w:pPr>
        <w:pStyle w:val="ListBullet"/>
      </w:pPr>
      <w:r>
        <w:t xml:space="preserve">the </w:t>
      </w:r>
      <w:r w:rsidRPr="007063DF">
        <w:rPr>
          <w:rStyle w:val="Characterbold"/>
          <w:lang w:eastAsia="en-GB"/>
        </w:rPr>
        <w:t>Fire and Emergency Male Champions of Change Group</w:t>
      </w:r>
      <w:r>
        <w:t>, which is one of nine MCC groups, which activate peer groups of influential male leaders, supports them to step up beside women, and drive the adoption of action on gender equality across private sector and government. The group is chaired by Commissioner Kristen Hilton</w:t>
      </w:r>
    </w:p>
    <w:p w:rsidR="0024051E" w:rsidRDefault="0024051E" w:rsidP="007063DF">
      <w:pPr>
        <w:pStyle w:val="ListBullet"/>
      </w:pPr>
      <w:r>
        <w:lastRenderedPageBreak/>
        <w:t xml:space="preserve">the </w:t>
      </w:r>
      <w:r w:rsidRPr="007063DF">
        <w:rPr>
          <w:rStyle w:val="Characterbold"/>
          <w:lang w:eastAsia="en-GB"/>
        </w:rPr>
        <w:t>Aboriginal Justice Forum</w:t>
      </w:r>
      <w:r>
        <w:t>. A meeting of leaders in the Aboriginal community and senior representatives of the Department of Justice and Community Safety, Department of Health and Human Services, Department of Education and Aboriginal Victoria</w:t>
      </w:r>
    </w:p>
    <w:p w:rsidR="0024051E" w:rsidRDefault="0024051E" w:rsidP="007063DF">
      <w:pPr>
        <w:pStyle w:val="ListBullet"/>
      </w:pPr>
      <w:r>
        <w:t xml:space="preserve">the </w:t>
      </w:r>
      <w:r w:rsidRPr="007063DF">
        <w:rPr>
          <w:rStyle w:val="Characterbold"/>
          <w:lang w:eastAsia="en-GB"/>
        </w:rPr>
        <w:t>Aboriginal Youth Justice Strategy Steering Committee</w:t>
      </w:r>
      <w:r>
        <w:t>. The Aboriginal Justice Agreement 4 was launched in August 2018. The Steering Committee will oversee the development of the first Youth Justice Strategy in Victoria, and is part of the fourth phase of the Aboriginal Justice Agreement</w:t>
      </w:r>
    </w:p>
    <w:p w:rsidR="0024051E" w:rsidRDefault="0024051E" w:rsidP="007063DF">
      <w:pPr>
        <w:pStyle w:val="ListBullet"/>
      </w:pPr>
      <w:r>
        <w:t xml:space="preserve">the </w:t>
      </w:r>
      <w:r w:rsidRPr="007063DF">
        <w:rPr>
          <w:rStyle w:val="Characterbold"/>
          <w:lang w:eastAsia="en-GB"/>
        </w:rPr>
        <w:t>Charter Leaders Group</w:t>
      </w:r>
      <w:r>
        <w:t xml:space="preserve">. Convened by the Commissioner, this group of executive VPS leaders from each department, together with Victoria Police and the Victorian Public Services Commission, supports the work of the Victorian Secretaries Board to develop a human rights culture by providing leadership and coordination for VPS agencies on the Charter </w:t>
      </w:r>
    </w:p>
    <w:p w:rsidR="0024051E" w:rsidRDefault="0024051E" w:rsidP="007063DF">
      <w:pPr>
        <w:pStyle w:val="ListBullet"/>
      </w:pPr>
      <w:r>
        <w:t xml:space="preserve">The </w:t>
      </w:r>
      <w:r w:rsidRPr="007063DF">
        <w:rPr>
          <w:rStyle w:val="Characterbold"/>
          <w:lang w:eastAsia="en-GB"/>
        </w:rPr>
        <w:t>Victorian Ombudsman’s Advisory Group</w:t>
      </w:r>
      <w:r>
        <w:t xml:space="preserve"> to the OPCAT-related investigation into the use of ‘solitary confinement’ involving young people in Victoria. The Commission provided advice on what best practice OPCAT implementation requires in Victoria.</w:t>
      </w:r>
    </w:p>
    <w:p w:rsidR="0024051E" w:rsidRDefault="0024051E" w:rsidP="007063DF">
      <w:pPr>
        <w:pStyle w:val="Heading2"/>
      </w:pPr>
      <w:bookmarkStart w:id="13" w:name="_Toc21701404"/>
      <w:r>
        <w:t>Monitor</w:t>
      </w:r>
      <w:bookmarkEnd w:id="13"/>
      <w:r>
        <w:t xml:space="preserve"> </w:t>
      </w:r>
    </w:p>
    <w:p w:rsidR="0024051E" w:rsidRDefault="0024051E" w:rsidP="00485D7B">
      <w:pPr>
        <w:pStyle w:val="Heading5"/>
      </w:pPr>
      <w:r>
        <w:t>We monitor the operation of the Charter of Human Rights and Responsibilities and track Victoria’s progress in protecting fundamental rights.</w:t>
      </w:r>
    </w:p>
    <w:p w:rsidR="0024051E" w:rsidRDefault="0024051E" w:rsidP="007063DF">
      <w:pPr>
        <w:pStyle w:val="Heading3"/>
      </w:pPr>
      <w:r>
        <w:t>Report on the operation of the Charter</w:t>
      </w:r>
    </w:p>
    <w:p w:rsidR="0024051E" w:rsidRPr="00485D7B" w:rsidRDefault="0024051E" w:rsidP="00CF3E72">
      <w:pPr>
        <w:pStyle w:val="BodyText"/>
      </w:pPr>
      <w:r w:rsidRPr="00485D7B">
        <w:t xml:space="preserve">In August 2018 the Commission released the </w:t>
      </w:r>
      <w:r w:rsidRPr="00485D7B">
        <w:rPr>
          <w:rStyle w:val="Characteritalic"/>
          <w:lang w:eastAsia="en-US"/>
        </w:rPr>
        <w:t>2017 Report on the operation of the Charter of Human Rights and Responsibilities.</w:t>
      </w:r>
      <w:r w:rsidRPr="00485D7B">
        <w:t xml:space="preserve"> The report highlights the Charter’s effectiveness in resolving a variety of disputes in 2017, from the Victorian Government’s decision to transfer children to the Grevillea unit within Barwon adult prison to the courts’ treatment of people with a disability.</w:t>
      </w:r>
    </w:p>
    <w:p w:rsidR="0024051E" w:rsidRPr="00485D7B" w:rsidRDefault="0024051E" w:rsidP="00CF3E72">
      <w:pPr>
        <w:pStyle w:val="BodyText"/>
      </w:pPr>
      <w:r w:rsidRPr="00485D7B">
        <w:t xml:space="preserve">The Charter was used to protect Victorians in ‘closed environments’ such as care homes, psychiatric wards and prisons; to facilitate cultural rights and self-determination for Aboriginal Victorians; to promote equality and non-discrimination in education; and to align Australia to international human rights standards. </w:t>
      </w:r>
    </w:p>
    <w:p w:rsidR="0024051E" w:rsidRPr="00485D7B" w:rsidRDefault="0024051E" w:rsidP="00CF3E72">
      <w:pPr>
        <w:pStyle w:val="BodyText"/>
      </w:pPr>
      <w:r w:rsidRPr="00485D7B">
        <w:t xml:space="preserve">The Charter also helped develop human rights standards across the state. One of the most influential cases – </w:t>
      </w:r>
      <w:r w:rsidRPr="00485D7B">
        <w:rPr>
          <w:rStyle w:val="Characteritalic"/>
          <w:lang w:eastAsia="en-US"/>
        </w:rPr>
        <w:t>Certain Children v Minister for Families and Children &amp; Ors (No 2)</w:t>
      </w:r>
      <w:r w:rsidRPr="00485D7B">
        <w:t xml:space="preserve"> – clarified public bodies’ legal obligations toward vulnerable Victorians. Another case – </w:t>
      </w:r>
      <w:r w:rsidRPr="00485D7B">
        <w:rPr>
          <w:rStyle w:val="Characteritalic"/>
          <w:lang w:eastAsia="en-US"/>
        </w:rPr>
        <w:t>Matsoukatidou v Yarra Ranges Council</w:t>
      </w:r>
      <w:r w:rsidRPr="00485D7B">
        <w:t xml:space="preserve"> – clarified the legal obligations of courts to act compatibly with human rights that affect court proceedings, including the right to equality before the law, the right to a fair hearing and the rights in criminal proceedings.</w:t>
      </w:r>
    </w:p>
    <w:p w:rsidR="0024051E" w:rsidRPr="00485D7B" w:rsidRDefault="0024051E" w:rsidP="00CF3E72">
      <w:pPr>
        <w:pStyle w:val="BodyText"/>
      </w:pPr>
      <w:r w:rsidRPr="00485D7B">
        <w:t>The report also included an update on the progress of implementation of the recommendations made in the eight-year review of the Charter’s operation in 2015 (2015 Review).</w:t>
      </w:r>
    </w:p>
    <w:p w:rsidR="0024051E" w:rsidRDefault="0024051E" w:rsidP="00CF3E72">
      <w:pPr>
        <w:pStyle w:val="BodyText"/>
      </w:pPr>
      <w:r w:rsidRPr="00485D7B">
        <w:t xml:space="preserve">Work is under way for the </w:t>
      </w:r>
      <w:r w:rsidRPr="00485D7B">
        <w:rPr>
          <w:rStyle w:val="Characteritalic"/>
          <w:lang w:eastAsia="en-US"/>
        </w:rPr>
        <w:t>2018 Report on the operation of the Charter of Human Rights and Responsibilities</w:t>
      </w:r>
      <w:r w:rsidRPr="00485D7B">
        <w:t xml:space="preserve">, which will include a human rights indicator framework for </w:t>
      </w:r>
      <w:r w:rsidRPr="00485D7B">
        <w:lastRenderedPageBreak/>
        <w:t>tracking improvement in human rights culture in Victoria’s public authorities, as outlined in ‘Human rights culture reporting’ on the next page.</w:t>
      </w:r>
    </w:p>
    <w:p w:rsidR="00DE0A9E" w:rsidRDefault="00DE0A9E" w:rsidP="00DE0A9E">
      <w:pPr>
        <w:pStyle w:val="BodyText"/>
      </w:pPr>
    </w:p>
    <w:tbl>
      <w:tblPr>
        <w:tblW w:w="0" w:type="auto"/>
        <w:tblLook w:val="04A0" w:firstRow="1" w:lastRow="0" w:firstColumn="1" w:lastColumn="0" w:noHBand="0" w:noVBand="1"/>
      </w:tblPr>
      <w:tblGrid>
        <w:gridCol w:w="9286"/>
      </w:tblGrid>
      <w:tr w:rsidR="00DE0A9E" w:rsidRPr="009549EF" w:rsidTr="009549EF">
        <w:tc>
          <w:tcPr>
            <w:tcW w:w="9286" w:type="dxa"/>
            <w:shd w:val="clear" w:color="auto" w:fill="C5E0B3"/>
          </w:tcPr>
          <w:p w:rsidR="00D45122" w:rsidRPr="009549EF" w:rsidRDefault="00D45122" w:rsidP="00D45122">
            <w:pPr>
              <w:pStyle w:val="Heading3"/>
              <w:rPr>
                <w:lang w:val="en-US"/>
              </w:rPr>
            </w:pPr>
            <w:r w:rsidRPr="009549EF">
              <w:rPr>
                <w:lang w:val="en-US"/>
              </w:rPr>
              <w:t xml:space="preserve">Human rights culture reporting </w:t>
            </w:r>
          </w:p>
          <w:p w:rsidR="00FE3F56" w:rsidRPr="009549EF" w:rsidRDefault="00FE3F56" w:rsidP="00FE3F56">
            <w:pPr>
              <w:pStyle w:val="BodyText"/>
              <w:rPr>
                <w:lang w:val="en-US"/>
              </w:rPr>
            </w:pPr>
            <w:r w:rsidRPr="009549EF">
              <w:rPr>
                <w:lang w:val="en-US"/>
              </w:rPr>
              <w:t xml:space="preserve">In 2017 the Victorian Government, endorsed by the Victorian Secretaries Board, recommitted to strengthening its human rights culture. </w:t>
            </w:r>
          </w:p>
          <w:p w:rsidR="00FE3F56" w:rsidRPr="009549EF" w:rsidRDefault="00FE3F56" w:rsidP="00FE3F56">
            <w:pPr>
              <w:pStyle w:val="BodyText"/>
              <w:rPr>
                <w:lang w:val="en-US"/>
              </w:rPr>
            </w:pPr>
            <w:r w:rsidRPr="009549EF">
              <w:rPr>
                <w:lang w:val="en-US"/>
              </w:rPr>
              <w:t>To support this work, the Commission identified the need for a robust system to measure human rights culture in public authorities and to track any improvements.</w:t>
            </w:r>
          </w:p>
          <w:p w:rsidR="00FE3F56" w:rsidRPr="009549EF" w:rsidRDefault="00FE3F56" w:rsidP="00FE3F56">
            <w:pPr>
              <w:pStyle w:val="BodyText"/>
              <w:rPr>
                <w:lang w:val="en-US"/>
              </w:rPr>
            </w:pPr>
            <w:r w:rsidRPr="009549EF">
              <w:rPr>
                <w:lang w:val="en-US"/>
              </w:rPr>
              <w:t>The Commission worked with PwC to do this by creating a methodology to measure and track indicators of human rights culture. The methodology was informed by input from public authorities, community groups and a review of international methodologies, tools and frameworks. It uses a combination of a survey developed with the support of Orima Research, consultation and targeted interviews to measure the strength of human rights culture in individual public authorities.</w:t>
            </w:r>
          </w:p>
          <w:p w:rsidR="00FE3F56" w:rsidRPr="009549EF" w:rsidRDefault="00FE3F56" w:rsidP="00FE3F56">
            <w:pPr>
              <w:pStyle w:val="BodyText"/>
              <w:rPr>
                <w:lang w:val="en-US"/>
              </w:rPr>
            </w:pPr>
            <w:r w:rsidRPr="009549EF">
              <w:rPr>
                <w:lang w:val="en-US"/>
              </w:rPr>
              <w:t>This year the Commission piloted the framework by applying it to an initial group of 35 public authorities. We found some areas of human rights culture that are operating strongly, and some opportunities for further work. We have used the framework to highlight good practice and some practical steps authorities can take to improve their human rights culture. The results will be presented in detail in the 2018 Charter Report.</w:t>
            </w:r>
          </w:p>
          <w:p w:rsidR="00DE0A9E" w:rsidRPr="009549EF" w:rsidRDefault="00FE3F56" w:rsidP="00D75F90">
            <w:pPr>
              <w:pStyle w:val="BodyText"/>
              <w:rPr>
                <w:lang w:val="en-US"/>
              </w:rPr>
            </w:pPr>
            <w:r w:rsidRPr="009549EF">
              <w:rPr>
                <w:lang w:val="en-US"/>
              </w:rPr>
              <w:t>We will test the framework further in coming years to track progress. This will help us both not only celebrate the work public authorities are undertaking to grow their human rights culture, but also provide guidance for areas of improvement and support implementation of the 2015 Review recommendations.</w:t>
            </w:r>
          </w:p>
        </w:tc>
      </w:tr>
    </w:tbl>
    <w:p w:rsidR="0024051E" w:rsidRDefault="0024051E" w:rsidP="007063DF">
      <w:pPr>
        <w:pStyle w:val="Heading2"/>
      </w:pPr>
      <w:bookmarkStart w:id="14" w:name="_Toc21701405"/>
      <w:r>
        <w:t>Enforce</w:t>
      </w:r>
      <w:bookmarkEnd w:id="14"/>
      <w:r>
        <w:t xml:space="preserve"> </w:t>
      </w:r>
    </w:p>
    <w:p w:rsidR="0024051E" w:rsidRDefault="0024051E" w:rsidP="00D45122">
      <w:pPr>
        <w:pStyle w:val="BodyText"/>
      </w:pPr>
      <w:r>
        <w:t>We intervene in court proceedings to bring an expert independent perspective to cases raising equal opportunity and human rights issues. We conduct investigations to identify and eliminate systemic discrimination.</w:t>
      </w:r>
    </w:p>
    <w:p w:rsidR="0024051E" w:rsidRDefault="0024051E" w:rsidP="007063DF">
      <w:pPr>
        <w:pStyle w:val="Heading3"/>
      </w:pPr>
      <w:r>
        <w:t>Interventions</w:t>
      </w:r>
    </w:p>
    <w:p w:rsidR="0024051E" w:rsidRDefault="0024051E" w:rsidP="00CF3E72">
      <w:pPr>
        <w:pStyle w:val="BodyText"/>
      </w:pPr>
      <w:r>
        <w:t>The Charter and the Equal Opportunity Act enable the Commission to intervene in legal proceedings initiated by other parties. The purpose of the Commission’s power to intervene is for it to be an independent advocate for the interpretation and application of the Charter and the Equal Opportunity Act. In its interventions, the Commission aims to promote the protection of human rights and eliminate discrimination, sexual harassment and victimisation to the greatest possible extent.</w:t>
      </w:r>
    </w:p>
    <w:p w:rsidR="0024051E" w:rsidRDefault="0024051E" w:rsidP="007063DF">
      <w:pPr>
        <w:pStyle w:val="Heading4"/>
      </w:pPr>
      <w:r>
        <w:t>Interventions under the Equal Opportunity Act </w:t>
      </w:r>
    </w:p>
    <w:p w:rsidR="0024051E" w:rsidRDefault="0024051E" w:rsidP="00485D7B">
      <w:pPr>
        <w:pStyle w:val="Heading5"/>
      </w:pPr>
      <w:r>
        <w:t xml:space="preserve">Owners Corporation v Anne Black [2018] VSC 337 </w:t>
      </w:r>
    </w:p>
    <w:p w:rsidR="0024051E" w:rsidRPr="00485D7B" w:rsidRDefault="0024051E" w:rsidP="00CF3E72">
      <w:pPr>
        <w:pStyle w:val="BodyText"/>
      </w:pPr>
      <w:r>
        <w:lastRenderedPageBreak/>
        <w:t>An important VCAT decision highlighted the importance of owners corporations’ obligations to make reasonable adjustments to accommodate people with disabilities. The Commission intervened in the case to assist the Supreme Court to i</w:t>
      </w:r>
      <w:r w:rsidRPr="00485D7B">
        <w:t>nterpret the relevant sections of the Equal Opportunity Act.</w:t>
      </w:r>
    </w:p>
    <w:p w:rsidR="0024051E" w:rsidRPr="00485D7B" w:rsidRDefault="0024051E" w:rsidP="00CF3E72">
      <w:pPr>
        <w:pStyle w:val="BodyText"/>
      </w:pPr>
      <w:r w:rsidRPr="00485D7B">
        <w:t xml:space="preserve">The applicant in the case, Anne Black, has disabilities that made it difficult for her to access the common areas of her apartment building, due to heavy manual doors and an unsafe ramp. Under the </w:t>
      </w:r>
      <w:r w:rsidRPr="00485D7B">
        <w:rPr>
          <w:rStyle w:val="Characteritalic"/>
          <w:lang w:eastAsia="en-US"/>
        </w:rPr>
        <w:t>Act</w:t>
      </w:r>
      <w:r w:rsidRPr="00485D7B">
        <w:t>, people providing services have a positive duty to make reasonable adjustments to accommodate the needs of people with disabilities. Ms Black argued that the owners corporation had discriminated against her by failing to take reasonable steps to allow her access to the common areas of her building due to her physical disability.</w:t>
      </w:r>
    </w:p>
    <w:p w:rsidR="0024051E" w:rsidRPr="00485D7B" w:rsidRDefault="0024051E" w:rsidP="00CF3E72">
      <w:pPr>
        <w:pStyle w:val="BodyText"/>
      </w:pPr>
      <w:r w:rsidRPr="00485D7B">
        <w:t>VCAT first handed down a decision in this case in February 2018, but the owners corporation for Ms Black’s building appealed the matter to the Supreme Court of Victoria. The appeal focused on whether the owners corporation provided a service to Ms Black. If they did, then an owners corporation would be required to make reasonable adjustments under the </w:t>
      </w:r>
      <w:r w:rsidRPr="00485D7B">
        <w:rPr>
          <w:rStyle w:val="Characteritalic"/>
          <w:lang w:eastAsia="en-US"/>
        </w:rPr>
        <w:t>Act</w:t>
      </w:r>
      <w:r w:rsidRPr="00485D7B">
        <w:t>.</w:t>
      </w:r>
    </w:p>
    <w:p w:rsidR="0024051E" w:rsidRDefault="0024051E" w:rsidP="00CF3E72">
      <w:pPr>
        <w:pStyle w:val="BodyText"/>
      </w:pPr>
      <w:r>
        <w:t>The court found that owners corporations do provide a service under the Act and are therefore obliged to make reasonable adjustments for people with a disability, or they would risk being found to be discriminatory. The matter was sent back to VCAT for an assessment on whether the adjustments being sought by Ms Black were reasonable.</w:t>
      </w:r>
    </w:p>
    <w:p w:rsidR="0024051E" w:rsidRDefault="0024051E" w:rsidP="00CF3E72">
      <w:pPr>
        <w:pStyle w:val="BodyText"/>
      </w:pPr>
      <w:r>
        <w:t>In December 2018, VCAT handed down its decision in Ms Black’s favour. Senior Member Steele found that the adjustments sought by Ms Black were appropriate, having regard to the evidence about her needs and the financial position of the owners corporation. Ms Black was awarded $10,000 compensation, and the owners corporation that manages her apartment building was ordered to install electronic controls for doors and steel kerb rails on an access ramp, as well as widening door clearances.</w:t>
      </w:r>
    </w:p>
    <w:p w:rsidR="0024051E" w:rsidRPr="00485D7B" w:rsidRDefault="0024051E" w:rsidP="00485D7B">
      <w:pPr>
        <w:pStyle w:val="Heading5"/>
      </w:pPr>
      <w:r>
        <w:t>Application by Metropolitan Fire and Emergency Services Board [2019] FWC 106</w:t>
      </w:r>
    </w:p>
    <w:p w:rsidR="0024051E" w:rsidRPr="00485D7B" w:rsidRDefault="0024051E" w:rsidP="00CF3E72">
      <w:pPr>
        <w:pStyle w:val="BodyText"/>
      </w:pPr>
      <w:r w:rsidRPr="00485D7B">
        <w:t xml:space="preserve">In 2018, the Fair Work Commission (FWC) considered the meaning of ‘discrimination’ in the </w:t>
      </w:r>
      <w:r w:rsidRPr="00485D7B">
        <w:rPr>
          <w:rStyle w:val="Characteritalic"/>
          <w:lang w:eastAsia="en-US"/>
        </w:rPr>
        <w:t>Fair Work Act 2009</w:t>
      </w:r>
      <w:r w:rsidRPr="00485D7B">
        <w:t xml:space="preserve"> in an application by the Metropolitan Fire and Emergency Services Board (MFB) for approval of the Operational Staff Agreement 2016. This question has implications for Victorians whose employment is covered by the Fair Work Act.</w:t>
      </w:r>
    </w:p>
    <w:p w:rsidR="0024051E" w:rsidRPr="00485D7B" w:rsidRDefault="0024051E" w:rsidP="00CF3E72">
      <w:pPr>
        <w:pStyle w:val="BodyText"/>
      </w:pPr>
      <w:r w:rsidRPr="00485D7B">
        <w:t>The Commission intervened in the matter to make submissions to the FWC about the meaning of discrimination, and regarding provisions in the Operational Agreement that the Commission considered could be discriminatory.</w:t>
      </w:r>
    </w:p>
    <w:p w:rsidR="0024051E" w:rsidRPr="00485D7B" w:rsidRDefault="0024051E" w:rsidP="00CF3E72">
      <w:pPr>
        <w:pStyle w:val="BodyText"/>
      </w:pPr>
      <w:r w:rsidRPr="00485D7B">
        <w:t>In deciding whether to approve the enterprise agreement, the FWC had to be satisfied of the matters set out in section 186 of the Fair Work Act. Part of this assessment included considering whether the Operational Agreement contained discriminatory terms and whether it was consistent with the National Employment Standards. If the Operational Agreement contained discriminatory terms, or was not consistent with the National Employment Standards, the FWC could not approve it.</w:t>
      </w:r>
    </w:p>
    <w:p w:rsidR="0024051E" w:rsidRPr="00485D7B" w:rsidRDefault="0024051E" w:rsidP="00CF3E72">
      <w:pPr>
        <w:pStyle w:val="BodyText"/>
      </w:pPr>
      <w:r w:rsidRPr="00485D7B">
        <w:lastRenderedPageBreak/>
        <w:t xml:space="preserve">The FWC found that the Operational Agreement contained terms that were inconsistent with the requirements of the National Employment Standards. It asked the MFB to take further action about these terms, by way of undertakings.  </w:t>
      </w:r>
    </w:p>
    <w:p w:rsidR="0024051E" w:rsidRPr="00485D7B" w:rsidRDefault="0024051E" w:rsidP="00CF3E72">
      <w:pPr>
        <w:pStyle w:val="BodyText"/>
      </w:pPr>
      <w:r w:rsidRPr="00485D7B">
        <w:t>On the meaning of the term ‘discrimination’, the FWC considered it needed to apply a Federal Court decision, which meant that it could only consider terms that directly discriminate. However, were the FWC not bound by that decision, Vice President Gostencnik would have decided (consistent with the Commission’s submission) that ‘discrimination’ includes indirect discrimination. The FWC then identified that terms of the enterprise agreement that limited access to part time working arrangements were indirectly discriminatory and would disproportionately and adversely impact women and employees with family or carer responsibilities.</w:t>
      </w:r>
    </w:p>
    <w:p w:rsidR="0024051E" w:rsidRPr="00485D7B" w:rsidRDefault="0024051E" w:rsidP="00CF3E72">
      <w:pPr>
        <w:pStyle w:val="BodyText"/>
      </w:pPr>
      <w:r w:rsidRPr="00485D7B">
        <w:t>At the time of writing, the federal Minister for Industrial Relations had sought a review of the FWC decision.</w:t>
      </w:r>
    </w:p>
    <w:p w:rsidR="0024051E" w:rsidRDefault="0024051E" w:rsidP="007063DF">
      <w:pPr>
        <w:pStyle w:val="Heading4"/>
      </w:pPr>
      <w:r>
        <w:t>Interventions under the Charter</w:t>
      </w:r>
    </w:p>
    <w:p w:rsidR="0024051E" w:rsidRDefault="0024051E" w:rsidP="00485D7B">
      <w:pPr>
        <w:pStyle w:val="Heading5"/>
      </w:pPr>
      <w:r>
        <w:t>Coronial inquest into the death of Tanya Day</w:t>
      </w:r>
    </w:p>
    <w:p w:rsidR="0024051E" w:rsidRDefault="0024051E" w:rsidP="00CF3E72">
      <w:pPr>
        <w:pStyle w:val="BodyText"/>
      </w:pPr>
      <w:r>
        <w:t xml:space="preserve">In March 2019 the Commission intervened in a coronial inquest into the death of Tanya Day to help the Coroners Court of Victoria understand how the Charter should be used in determining the scope of the inquest. </w:t>
      </w:r>
    </w:p>
    <w:p w:rsidR="0024051E" w:rsidRDefault="0024051E" w:rsidP="00CF3E72">
      <w:pPr>
        <w:pStyle w:val="BodyText"/>
      </w:pPr>
      <w:r>
        <w:t>On 5 December 2017 Ms Day, an Aboriginal woman, was removed from a train and arrested for public drunkenness. Ms Day was taken into police custody, where she hit her head multiple times while in the holding cell. The most significant fall resulted in a brain haemorrhage. Ms Day was eventually transferred to hospital and underwent surgery but did not regain consciousness. She died in hospital on 22 December 2017.</w:t>
      </w:r>
    </w:p>
    <w:p w:rsidR="0024051E" w:rsidRDefault="0024051E" w:rsidP="00CF3E72">
      <w:pPr>
        <w:pStyle w:val="BodyText"/>
      </w:pPr>
      <w:r>
        <w:t xml:space="preserve">The Commission submitted that several of Ms Day’s human rights, including the right to equality, the right to life and the right to culture needed to be considered. In particular, the Commission highlighted the obligation of public authorities to provide culturally safe and trauma-informed care. </w:t>
      </w:r>
    </w:p>
    <w:p w:rsidR="0024051E" w:rsidRDefault="0024051E" w:rsidP="00CF3E72">
      <w:pPr>
        <w:pStyle w:val="BodyText"/>
      </w:pPr>
      <w:r>
        <w:t>Ms Day’s family requested that, as part of the scope of the inquest, the Coroner consider whether systemic racism contributed to the cause and circumstances of Tanya’s death. In June 2019, the Court ruled that this would be considered and confirmed the application of the Charter to the Coroners Court.</w:t>
      </w:r>
    </w:p>
    <w:p w:rsidR="0024051E" w:rsidRDefault="0024051E" w:rsidP="00D45122">
      <w:pPr>
        <w:pStyle w:val="Heading4"/>
        <w:rPr>
          <w:rStyle w:val="HRVBoldItalic"/>
        </w:rPr>
      </w:pPr>
      <w:r>
        <w:t>Information about ongoing interventions under the Charter</w:t>
      </w:r>
    </w:p>
    <w:p w:rsidR="0024051E" w:rsidRPr="00485D7B" w:rsidRDefault="0024051E" w:rsidP="00485D7B">
      <w:pPr>
        <w:pStyle w:val="Heading5"/>
      </w:pPr>
      <w:r w:rsidRPr="00485D7B">
        <w:t>Cemino v Cannan and Ors [2018] VSC 535</w:t>
      </w:r>
    </w:p>
    <w:p w:rsidR="0024051E" w:rsidRDefault="0024051E" w:rsidP="00CF3E72">
      <w:pPr>
        <w:pStyle w:val="BodyText"/>
      </w:pPr>
      <w:r>
        <w:t>Following the Commission’s intervention in this matter in 2017–18, the Supreme Court of Victoria confirmed in September 2018 that courts must consider the distinct cultural rights of Aboriginal people under the Victorian Charter of Human Rights and Responsibilities when making decisions in relation to an Aboriginal person’s request to be heard in a Koori Court.</w:t>
      </w:r>
    </w:p>
    <w:p w:rsidR="0024051E" w:rsidRDefault="0024051E" w:rsidP="00CF3E72">
      <w:pPr>
        <w:pStyle w:val="BodyText"/>
      </w:pPr>
      <w:r>
        <w:t xml:space="preserve">In April 2017 Zayden Cemino, a Yorta Yorta man from Echuca, applied to the Magistrates’ Court to transfer his criminal charges to the closest Koori Court in Shepparton. Although the Koori Court had jurisdiction to deal with the proceedings, </w:t>
      </w:r>
      <w:r>
        <w:lastRenderedPageBreak/>
        <w:t>the Magistrate refused the transfer. Mr Cemino appealed the decision to the Supreme Court.</w:t>
      </w:r>
    </w:p>
    <w:p w:rsidR="0024051E" w:rsidRDefault="0024051E" w:rsidP="00CF3E72">
      <w:pPr>
        <w:pStyle w:val="BodyText"/>
      </w:pPr>
      <w:r>
        <w:t>The Supreme Court’s decision confirmed that the Magistrate failed to properly take into account Mr Cemino’s right to culture and equality before the law. The Court also recognised the important role that Koori Courts play in addressing systemic disadvantage faced by Aboriginal people in the justice system.</w:t>
      </w:r>
    </w:p>
    <w:p w:rsidR="0024051E" w:rsidRDefault="0024051E" w:rsidP="00CF3E72">
      <w:pPr>
        <w:pStyle w:val="BodyText"/>
      </w:pPr>
      <w:r>
        <w:t>The case has significant implications for Aboriginal people across Victoria and represents a growing recognition by the courts of the importance of cultural rights and how they should be taken into account in individual cases</w:t>
      </w:r>
    </w:p>
    <w:p w:rsidR="0024051E" w:rsidRPr="00485D7B" w:rsidRDefault="0024051E" w:rsidP="00485D7B">
      <w:pPr>
        <w:pStyle w:val="Heading5"/>
      </w:pPr>
      <w:r w:rsidRPr="00485D7B">
        <w:t xml:space="preserve">AB (a pseudonym) v CD (a pseudonym) EF (a pseudonym) v CD (a pseudonym) [2018] HCA 58; AB v CD &amp; EF [2017] VSCA 338; AB &amp; EF v CD [2017] VSC 350 </w:t>
      </w:r>
    </w:p>
    <w:p w:rsidR="0024051E" w:rsidRDefault="0024051E" w:rsidP="00CF3E72">
      <w:pPr>
        <w:pStyle w:val="BodyText"/>
      </w:pPr>
      <w:r>
        <w:t>The Commission intervened in the proceedings that related to Informer 3838 – the AB &amp; CD v EF proceedings – in the Supreme Court, Court of Appeal and High Court jurisdictions. These proceedings are now commonly referred to as the ‘Lawyer X’ proceedings.</w:t>
      </w:r>
    </w:p>
    <w:p w:rsidR="0024051E" w:rsidRDefault="0024051E" w:rsidP="00CF3E72">
      <w:pPr>
        <w:pStyle w:val="BodyText"/>
      </w:pPr>
      <w:r>
        <w:t xml:space="preserve">The Commission’s intervention focused on a ‘procedural’ Charter question, concerning whether the Supreme Court could, and should, determine whether the public interest in protecting the identity of a police informer ruled out the Director of Public Prosecutions from providing information that might assist a convicted person to have a conviction quashed. </w:t>
      </w:r>
    </w:p>
    <w:p w:rsidR="0024051E" w:rsidRDefault="0024051E" w:rsidP="00CF3E72">
      <w:pPr>
        <w:pStyle w:val="BodyText"/>
      </w:pPr>
      <w:r>
        <w:t xml:space="preserve">The Court accepted the Commission’s submission that the Court had to act compatibly with the human rights of the convicted persons (right to a fair hearing and criminal procedure rights), balanced against the rights of Informer 3838 and her children (relevantly the right to life, liberty and security and freedom from arbitrary interference with family). </w:t>
      </w:r>
    </w:p>
    <w:p w:rsidR="0024051E" w:rsidRDefault="0024051E" w:rsidP="00CF3E72">
      <w:pPr>
        <w:pStyle w:val="BodyText"/>
      </w:pPr>
      <w:r>
        <w:t>The courts were assisted by our submissions on how the Charter framework applied to the central issues to be determined.</w:t>
      </w:r>
    </w:p>
    <w:p w:rsidR="0024051E" w:rsidRDefault="0024051E" w:rsidP="00485D7B">
      <w:pPr>
        <w:pStyle w:val="Heading5"/>
      </w:pPr>
      <w:r>
        <w:t>Charter notifications and interventions</w:t>
      </w: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020" w:firstRow="1" w:lastRow="0" w:firstColumn="0" w:lastColumn="0" w:noHBand="0" w:noVBand="0"/>
      </w:tblPr>
      <w:tblGrid>
        <w:gridCol w:w="1521"/>
        <w:gridCol w:w="1848"/>
        <w:gridCol w:w="1842"/>
      </w:tblGrid>
      <w:tr w:rsidR="009549EF" w:rsidRPr="009549EF" w:rsidTr="009549EF">
        <w:trPr>
          <w:trHeight w:val="344"/>
        </w:trPr>
        <w:tc>
          <w:tcPr>
            <w:tcW w:w="1521" w:type="dxa"/>
            <w:tcBorders>
              <w:top w:val="single" w:sz="4" w:space="0" w:color="000000"/>
              <w:left w:val="single" w:sz="4" w:space="0" w:color="000000"/>
              <w:bottom w:val="single" w:sz="4" w:space="0" w:color="000000"/>
              <w:right w:val="nil"/>
            </w:tcBorders>
            <w:shd w:val="clear" w:color="auto" w:fill="000000"/>
          </w:tcPr>
          <w:p w:rsidR="0024051E" w:rsidRPr="009549EF" w:rsidRDefault="0024051E" w:rsidP="00D45122">
            <w:pPr>
              <w:pStyle w:val="BodyText"/>
              <w:rPr>
                <w:b/>
                <w:bCs/>
                <w:color w:val="FFFFFF"/>
              </w:rPr>
            </w:pPr>
            <w:r w:rsidRPr="009549EF">
              <w:rPr>
                <w:b/>
                <w:bCs/>
                <w:color w:val="FFFFFF"/>
              </w:rPr>
              <w:t>Year</w:t>
            </w:r>
          </w:p>
        </w:tc>
        <w:tc>
          <w:tcPr>
            <w:tcW w:w="1848" w:type="dxa"/>
            <w:tcBorders>
              <w:top w:val="single" w:sz="4" w:space="0" w:color="000000"/>
              <w:left w:val="nil"/>
              <w:bottom w:val="single" w:sz="4" w:space="0" w:color="000000"/>
              <w:right w:val="nil"/>
            </w:tcBorders>
            <w:shd w:val="clear" w:color="auto" w:fill="000000"/>
          </w:tcPr>
          <w:p w:rsidR="0024051E" w:rsidRPr="009549EF" w:rsidRDefault="0024051E" w:rsidP="00D45122">
            <w:pPr>
              <w:pStyle w:val="BodyText"/>
              <w:rPr>
                <w:b/>
                <w:bCs/>
                <w:color w:val="FFFFFF"/>
              </w:rPr>
            </w:pPr>
            <w:r w:rsidRPr="009549EF">
              <w:rPr>
                <w:b/>
                <w:bCs/>
                <w:color w:val="FFFFFF"/>
              </w:rPr>
              <w:t>Notifications</w:t>
            </w:r>
          </w:p>
        </w:tc>
        <w:tc>
          <w:tcPr>
            <w:tcW w:w="1842" w:type="dxa"/>
            <w:tcBorders>
              <w:top w:val="single" w:sz="4" w:space="0" w:color="000000"/>
              <w:left w:val="nil"/>
              <w:bottom w:val="single" w:sz="4" w:space="0" w:color="000000"/>
              <w:right w:val="single" w:sz="4" w:space="0" w:color="000000"/>
            </w:tcBorders>
            <w:shd w:val="clear" w:color="auto" w:fill="000000"/>
          </w:tcPr>
          <w:p w:rsidR="0024051E" w:rsidRPr="009549EF" w:rsidRDefault="0024051E" w:rsidP="00D45122">
            <w:pPr>
              <w:pStyle w:val="BodyText"/>
              <w:rPr>
                <w:b/>
                <w:bCs/>
                <w:color w:val="FFFFFF"/>
              </w:rPr>
            </w:pPr>
            <w:r w:rsidRPr="009549EF">
              <w:rPr>
                <w:b/>
                <w:bCs/>
                <w:color w:val="FFFFFF"/>
              </w:rPr>
              <w:t>Interventions</w:t>
            </w:r>
          </w:p>
        </w:tc>
      </w:tr>
      <w:tr w:rsidR="00C30441" w:rsidRPr="009549EF" w:rsidTr="00C30441">
        <w:trPr>
          <w:trHeight w:val="344"/>
        </w:trPr>
        <w:tc>
          <w:tcPr>
            <w:tcW w:w="1521" w:type="dxa"/>
            <w:shd w:val="clear" w:color="auto" w:fill="FFFFFF" w:themeFill="background1"/>
          </w:tcPr>
          <w:p w:rsidR="0024051E" w:rsidRDefault="0024051E" w:rsidP="00D45122">
            <w:pPr>
              <w:pStyle w:val="BodyText"/>
            </w:pPr>
            <w:r w:rsidRPr="00485D7B">
              <w:t xml:space="preserve">2008–09 </w:t>
            </w:r>
          </w:p>
        </w:tc>
        <w:tc>
          <w:tcPr>
            <w:tcW w:w="1848" w:type="dxa"/>
            <w:shd w:val="clear" w:color="auto" w:fill="FFFFFF" w:themeFill="background1"/>
          </w:tcPr>
          <w:p w:rsidR="0024051E" w:rsidRDefault="0024051E" w:rsidP="00D45122">
            <w:pPr>
              <w:pStyle w:val="BodyText"/>
            </w:pPr>
            <w:r w:rsidRPr="00485D7B">
              <w:t>49</w:t>
            </w:r>
          </w:p>
        </w:tc>
        <w:tc>
          <w:tcPr>
            <w:tcW w:w="1842" w:type="dxa"/>
            <w:shd w:val="clear" w:color="auto" w:fill="FFFFFF" w:themeFill="background1"/>
          </w:tcPr>
          <w:p w:rsidR="0024051E" w:rsidRDefault="0024051E" w:rsidP="00D45122">
            <w:pPr>
              <w:pStyle w:val="BodyText"/>
            </w:pPr>
            <w:r w:rsidRPr="00485D7B">
              <w:t>5</w:t>
            </w:r>
          </w:p>
        </w:tc>
      </w:tr>
      <w:tr w:rsidR="009549EF" w:rsidRPr="009549EF" w:rsidTr="00C30441">
        <w:trPr>
          <w:trHeight w:val="518"/>
        </w:trPr>
        <w:tc>
          <w:tcPr>
            <w:tcW w:w="1521" w:type="dxa"/>
            <w:shd w:val="clear" w:color="auto" w:fill="FFFFFF" w:themeFill="background1"/>
          </w:tcPr>
          <w:p w:rsidR="0024051E" w:rsidRDefault="0024051E" w:rsidP="00D45122">
            <w:pPr>
              <w:pStyle w:val="BodyText"/>
            </w:pPr>
            <w:r w:rsidRPr="00485D7B">
              <w:t xml:space="preserve">2009–10 </w:t>
            </w:r>
          </w:p>
        </w:tc>
        <w:tc>
          <w:tcPr>
            <w:tcW w:w="1848" w:type="dxa"/>
            <w:shd w:val="clear" w:color="auto" w:fill="FFFFFF" w:themeFill="background1"/>
          </w:tcPr>
          <w:p w:rsidR="0024051E" w:rsidRDefault="0024051E" w:rsidP="00D45122">
            <w:pPr>
              <w:pStyle w:val="BodyText"/>
            </w:pPr>
            <w:r w:rsidRPr="00485D7B">
              <w:t>44</w:t>
            </w:r>
          </w:p>
        </w:tc>
        <w:tc>
          <w:tcPr>
            <w:tcW w:w="1842" w:type="dxa"/>
            <w:shd w:val="clear" w:color="auto" w:fill="FFFFFF" w:themeFill="background1"/>
          </w:tcPr>
          <w:p w:rsidR="0024051E" w:rsidRDefault="0024051E" w:rsidP="00D45122">
            <w:pPr>
              <w:pStyle w:val="BodyText"/>
            </w:pPr>
            <w:r w:rsidRPr="00485D7B">
              <w:t>7</w:t>
            </w:r>
          </w:p>
        </w:tc>
      </w:tr>
      <w:tr w:rsidR="00C30441" w:rsidRPr="009549EF" w:rsidTr="00C30441">
        <w:trPr>
          <w:trHeight w:val="344"/>
        </w:trPr>
        <w:tc>
          <w:tcPr>
            <w:tcW w:w="1521" w:type="dxa"/>
            <w:shd w:val="clear" w:color="auto" w:fill="FFFFFF" w:themeFill="background1"/>
          </w:tcPr>
          <w:p w:rsidR="0024051E" w:rsidRDefault="0024051E" w:rsidP="00D45122">
            <w:pPr>
              <w:pStyle w:val="BodyText"/>
            </w:pPr>
            <w:r w:rsidRPr="00485D7B">
              <w:t xml:space="preserve">2010–11 </w:t>
            </w:r>
          </w:p>
        </w:tc>
        <w:tc>
          <w:tcPr>
            <w:tcW w:w="1848" w:type="dxa"/>
            <w:shd w:val="clear" w:color="auto" w:fill="FFFFFF" w:themeFill="background1"/>
          </w:tcPr>
          <w:p w:rsidR="0024051E" w:rsidRDefault="0024051E" w:rsidP="00D45122">
            <w:pPr>
              <w:pStyle w:val="BodyText"/>
            </w:pPr>
            <w:r w:rsidRPr="00485D7B">
              <w:t>55</w:t>
            </w:r>
          </w:p>
        </w:tc>
        <w:tc>
          <w:tcPr>
            <w:tcW w:w="1842" w:type="dxa"/>
            <w:shd w:val="clear" w:color="auto" w:fill="FFFFFF" w:themeFill="background1"/>
          </w:tcPr>
          <w:p w:rsidR="0024051E" w:rsidRDefault="0024051E" w:rsidP="00D45122">
            <w:pPr>
              <w:pStyle w:val="BodyText"/>
            </w:pPr>
            <w:r w:rsidRPr="00485D7B">
              <w:t>9</w:t>
            </w:r>
          </w:p>
        </w:tc>
      </w:tr>
      <w:tr w:rsidR="009549EF" w:rsidRPr="009549EF" w:rsidTr="00C30441">
        <w:trPr>
          <w:trHeight w:val="344"/>
        </w:trPr>
        <w:tc>
          <w:tcPr>
            <w:tcW w:w="1521" w:type="dxa"/>
            <w:shd w:val="clear" w:color="auto" w:fill="FFFFFF" w:themeFill="background1"/>
          </w:tcPr>
          <w:p w:rsidR="0024051E" w:rsidRDefault="0024051E" w:rsidP="00D45122">
            <w:pPr>
              <w:pStyle w:val="BodyText"/>
            </w:pPr>
            <w:r w:rsidRPr="00485D7B">
              <w:t xml:space="preserve">2011–12 </w:t>
            </w:r>
          </w:p>
        </w:tc>
        <w:tc>
          <w:tcPr>
            <w:tcW w:w="1848" w:type="dxa"/>
            <w:shd w:val="clear" w:color="auto" w:fill="FFFFFF" w:themeFill="background1"/>
          </w:tcPr>
          <w:p w:rsidR="0024051E" w:rsidRDefault="0024051E" w:rsidP="00D45122">
            <w:pPr>
              <w:pStyle w:val="BodyText"/>
            </w:pPr>
            <w:r w:rsidRPr="00485D7B">
              <w:t>31</w:t>
            </w:r>
          </w:p>
        </w:tc>
        <w:tc>
          <w:tcPr>
            <w:tcW w:w="1842" w:type="dxa"/>
            <w:shd w:val="clear" w:color="auto" w:fill="FFFFFF" w:themeFill="background1"/>
          </w:tcPr>
          <w:p w:rsidR="0024051E" w:rsidRDefault="0024051E" w:rsidP="00D45122">
            <w:pPr>
              <w:pStyle w:val="BodyText"/>
            </w:pPr>
            <w:r w:rsidRPr="00485D7B">
              <w:t>5</w:t>
            </w:r>
          </w:p>
        </w:tc>
      </w:tr>
      <w:tr w:rsidR="00C30441" w:rsidRPr="009549EF" w:rsidTr="00C30441">
        <w:trPr>
          <w:trHeight w:val="344"/>
        </w:trPr>
        <w:tc>
          <w:tcPr>
            <w:tcW w:w="1521" w:type="dxa"/>
            <w:shd w:val="clear" w:color="auto" w:fill="FFFFFF" w:themeFill="background1"/>
          </w:tcPr>
          <w:p w:rsidR="0024051E" w:rsidRDefault="0024051E" w:rsidP="00D45122">
            <w:pPr>
              <w:pStyle w:val="BodyText"/>
            </w:pPr>
            <w:r w:rsidRPr="00485D7B">
              <w:t xml:space="preserve">2012–13 </w:t>
            </w:r>
          </w:p>
        </w:tc>
        <w:tc>
          <w:tcPr>
            <w:tcW w:w="1848" w:type="dxa"/>
            <w:shd w:val="clear" w:color="auto" w:fill="FFFFFF" w:themeFill="background1"/>
          </w:tcPr>
          <w:p w:rsidR="0024051E" w:rsidRDefault="0024051E" w:rsidP="00D45122">
            <w:pPr>
              <w:pStyle w:val="BodyText"/>
            </w:pPr>
            <w:r w:rsidRPr="00485D7B">
              <w:t>30</w:t>
            </w:r>
          </w:p>
        </w:tc>
        <w:tc>
          <w:tcPr>
            <w:tcW w:w="1842" w:type="dxa"/>
            <w:shd w:val="clear" w:color="auto" w:fill="FFFFFF" w:themeFill="background1"/>
          </w:tcPr>
          <w:p w:rsidR="0024051E" w:rsidRDefault="0024051E" w:rsidP="00D45122">
            <w:pPr>
              <w:pStyle w:val="BodyText"/>
            </w:pPr>
            <w:r w:rsidRPr="00485D7B">
              <w:t>6</w:t>
            </w:r>
          </w:p>
        </w:tc>
      </w:tr>
      <w:tr w:rsidR="009549EF" w:rsidRPr="009549EF" w:rsidTr="00C30441">
        <w:trPr>
          <w:trHeight w:val="344"/>
        </w:trPr>
        <w:tc>
          <w:tcPr>
            <w:tcW w:w="1521" w:type="dxa"/>
            <w:shd w:val="clear" w:color="auto" w:fill="FFFFFF" w:themeFill="background1"/>
          </w:tcPr>
          <w:p w:rsidR="0024051E" w:rsidRDefault="0024051E" w:rsidP="00D45122">
            <w:pPr>
              <w:pStyle w:val="BodyText"/>
            </w:pPr>
            <w:r w:rsidRPr="00485D7B">
              <w:t xml:space="preserve">2013–14 </w:t>
            </w:r>
          </w:p>
        </w:tc>
        <w:tc>
          <w:tcPr>
            <w:tcW w:w="1848" w:type="dxa"/>
            <w:shd w:val="clear" w:color="auto" w:fill="FFFFFF" w:themeFill="background1"/>
          </w:tcPr>
          <w:p w:rsidR="0024051E" w:rsidRDefault="0024051E" w:rsidP="00D45122">
            <w:pPr>
              <w:pStyle w:val="BodyText"/>
            </w:pPr>
            <w:r w:rsidRPr="00485D7B">
              <w:t>17</w:t>
            </w:r>
          </w:p>
        </w:tc>
        <w:tc>
          <w:tcPr>
            <w:tcW w:w="1842" w:type="dxa"/>
            <w:shd w:val="clear" w:color="auto" w:fill="FFFFFF" w:themeFill="background1"/>
          </w:tcPr>
          <w:p w:rsidR="0024051E" w:rsidRDefault="0024051E" w:rsidP="00D45122">
            <w:pPr>
              <w:pStyle w:val="BodyText"/>
            </w:pPr>
            <w:r w:rsidRPr="00485D7B">
              <w:t>5</w:t>
            </w:r>
          </w:p>
        </w:tc>
      </w:tr>
      <w:tr w:rsidR="00C30441" w:rsidRPr="009549EF" w:rsidTr="00C30441">
        <w:trPr>
          <w:trHeight w:val="518"/>
        </w:trPr>
        <w:tc>
          <w:tcPr>
            <w:tcW w:w="1521" w:type="dxa"/>
            <w:shd w:val="clear" w:color="auto" w:fill="FFFFFF" w:themeFill="background1"/>
          </w:tcPr>
          <w:p w:rsidR="0024051E" w:rsidRDefault="0024051E" w:rsidP="00D45122">
            <w:pPr>
              <w:pStyle w:val="BodyText"/>
            </w:pPr>
            <w:r w:rsidRPr="00485D7B">
              <w:t>2014–15</w:t>
            </w:r>
          </w:p>
        </w:tc>
        <w:tc>
          <w:tcPr>
            <w:tcW w:w="1848" w:type="dxa"/>
            <w:shd w:val="clear" w:color="auto" w:fill="FFFFFF" w:themeFill="background1"/>
          </w:tcPr>
          <w:p w:rsidR="0024051E" w:rsidRDefault="0024051E" w:rsidP="00D45122">
            <w:pPr>
              <w:pStyle w:val="BodyText"/>
            </w:pPr>
            <w:r w:rsidRPr="00485D7B">
              <w:t>25</w:t>
            </w:r>
          </w:p>
        </w:tc>
        <w:tc>
          <w:tcPr>
            <w:tcW w:w="1842" w:type="dxa"/>
            <w:shd w:val="clear" w:color="auto" w:fill="FFFFFF" w:themeFill="background1"/>
          </w:tcPr>
          <w:p w:rsidR="0024051E" w:rsidRDefault="0024051E" w:rsidP="00D45122">
            <w:pPr>
              <w:pStyle w:val="BodyText"/>
            </w:pPr>
            <w:r w:rsidRPr="00485D7B">
              <w:t>3</w:t>
            </w:r>
          </w:p>
        </w:tc>
      </w:tr>
      <w:tr w:rsidR="009549EF" w:rsidRPr="009549EF" w:rsidTr="00C30441">
        <w:trPr>
          <w:trHeight w:val="344"/>
        </w:trPr>
        <w:tc>
          <w:tcPr>
            <w:tcW w:w="1521" w:type="dxa"/>
            <w:shd w:val="clear" w:color="auto" w:fill="FFFFFF" w:themeFill="background1"/>
          </w:tcPr>
          <w:p w:rsidR="0024051E" w:rsidRDefault="0024051E" w:rsidP="00D45122">
            <w:pPr>
              <w:pStyle w:val="BodyText"/>
            </w:pPr>
            <w:r w:rsidRPr="00485D7B">
              <w:t>2015–16</w:t>
            </w:r>
          </w:p>
        </w:tc>
        <w:tc>
          <w:tcPr>
            <w:tcW w:w="1848" w:type="dxa"/>
            <w:shd w:val="clear" w:color="auto" w:fill="FFFFFF" w:themeFill="background1"/>
          </w:tcPr>
          <w:p w:rsidR="0024051E" w:rsidRDefault="0024051E" w:rsidP="00D45122">
            <w:pPr>
              <w:pStyle w:val="BodyText"/>
            </w:pPr>
            <w:r w:rsidRPr="00485D7B">
              <w:t>26</w:t>
            </w:r>
          </w:p>
        </w:tc>
        <w:tc>
          <w:tcPr>
            <w:tcW w:w="1842" w:type="dxa"/>
            <w:shd w:val="clear" w:color="auto" w:fill="FFFFFF" w:themeFill="background1"/>
          </w:tcPr>
          <w:p w:rsidR="0024051E" w:rsidRDefault="0024051E" w:rsidP="00D45122">
            <w:pPr>
              <w:pStyle w:val="BodyText"/>
            </w:pPr>
            <w:r w:rsidRPr="00485D7B">
              <w:t>4</w:t>
            </w:r>
          </w:p>
        </w:tc>
      </w:tr>
      <w:tr w:rsidR="00C30441" w:rsidRPr="009549EF" w:rsidTr="00C30441">
        <w:trPr>
          <w:trHeight w:val="344"/>
        </w:trPr>
        <w:tc>
          <w:tcPr>
            <w:tcW w:w="1521" w:type="dxa"/>
            <w:shd w:val="clear" w:color="auto" w:fill="FFFFFF" w:themeFill="background1"/>
          </w:tcPr>
          <w:p w:rsidR="0024051E" w:rsidRDefault="0024051E" w:rsidP="00D45122">
            <w:pPr>
              <w:pStyle w:val="BodyText"/>
            </w:pPr>
            <w:r w:rsidRPr="00485D7B">
              <w:lastRenderedPageBreak/>
              <w:t>2016–17</w:t>
            </w:r>
          </w:p>
        </w:tc>
        <w:tc>
          <w:tcPr>
            <w:tcW w:w="1848" w:type="dxa"/>
            <w:shd w:val="clear" w:color="auto" w:fill="FFFFFF" w:themeFill="background1"/>
          </w:tcPr>
          <w:p w:rsidR="0024051E" w:rsidRDefault="0024051E" w:rsidP="00D45122">
            <w:pPr>
              <w:pStyle w:val="BodyText"/>
            </w:pPr>
            <w:r w:rsidRPr="00485D7B">
              <w:t>29</w:t>
            </w:r>
          </w:p>
        </w:tc>
        <w:tc>
          <w:tcPr>
            <w:tcW w:w="1842" w:type="dxa"/>
            <w:shd w:val="clear" w:color="auto" w:fill="FFFFFF" w:themeFill="background1"/>
          </w:tcPr>
          <w:p w:rsidR="0024051E" w:rsidRDefault="0024051E" w:rsidP="00D45122">
            <w:pPr>
              <w:pStyle w:val="BodyText"/>
            </w:pPr>
            <w:r w:rsidRPr="00485D7B">
              <w:t>5</w:t>
            </w:r>
          </w:p>
        </w:tc>
      </w:tr>
      <w:tr w:rsidR="009549EF" w:rsidRPr="009549EF" w:rsidTr="00C30441">
        <w:trPr>
          <w:trHeight w:val="344"/>
        </w:trPr>
        <w:tc>
          <w:tcPr>
            <w:tcW w:w="1521" w:type="dxa"/>
            <w:shd w:val="clear" w:color="auto" w:fill="FFFFFF" w:themeFill="background1"/>
          </w:tcPr>
          <w:p w:rsidR="0024051E" w:rsidRDefault="0024051E" w:rsidP="00D45122">
            <w:pPr>
              <w:pStyle w:val="BodyText"/>
            </w:pPr>
            <w:r w:rsidRPr="00485D7B">
              <w:t>2017–18</w:t>
            </w:r>
          </w:p>
        </w:tc>
        <w:tc>
          <w:tcPr>
            <w:tcW w:w="1848" w:type="dxa"/>
            <w:shd w:val="clear" w:color="auto" w:fill="FFFFFF" w:themeFill="background1"/>
          </w:tcPr>
          <w:p w:rsidR="0024051E" w:rsidRDefault="0024051E" w:rsidP="00D45122">
            <w:pPr>
              <w:pStyle w:val="BodyText"/>
            </w:pPr>
            <w:r w:rsidRPr="00485D7B">
              <w:t>38</w:t>
            </w:r>
          </w:p>
        </w:tc>
        <w:tc>
          <w:tcPr>
            <w:tcW w:w="1842" w:type="dxa"/>
            <w:shd w:val="clear" w:color="auto" w:fill="FFFFFF" w:themeFill="background1"/>
          </w:tcPr>
          <w:p w:rsidR="0024051E" w:rsidRDefault="0024051E" w:rsidP="00D45122">
            <w:pPr>
              <w:pStyle w:val="BodyText"/>
            </w:pPr>
            <w:r w:rsidRPr="00485D7B">
              <w:t>2</w:t>
            </w:r>
          </w:p>
        </w:tc>
      </w:tr>
      <w:tr w:rsidR="00C30441" w:rsidRPr="009549EF" w:rsidTr="00C30441">
        <w:trPr>
          <w:trHeight w:val="344"/>
        </w:trPr>
        <w:tc>
          <w:tcPr>
            <w:tcW w:w="1521" w:type="dxa"/>
            <w:shd w:val="clear" w:color="auto" w:fill="FFFFFF" w:themeFill="background1"/>
          </w:tcPr>
          <w:p w:rsidR="0024051E" w:rsidRDefault="0024051E" w:rsidP="00D45122">
            <w:pPr>
              <w:pStyle w:val="BodyText"/>
            </w:pPr>
            <w:r w:rsidRPr="00485D7B">
              <w:t>2018–19</w:t>
            </w:r>
          </w:p>
        </w:tc>
        <w:tc>
          <w:tcPr>
            <w:tcW w:w="1848" w:type="dxa"/>
            <w:shd w:val="clear" w:color="auto" w:fill="FFFFFF" w:themeFill="background1"/>
          </w:tcPr>
          <w:p w:rsidR="0024051E" w:rsidRDefault="0024051E" w:rsidP="00D45122">
            <w:pPr>
              <w:pStyle w:val="BodyText"/>
            </w:pPr>
            <w:r w:rsidRPr="00485D7B">
              <w:t>27</w:t>
            </w:r>
          </w:p>
        </w:tc>
        <w:tc>
          <w:tcPr>
            <w:tcW w:w="1842" w:type="dxa"/>
            <w:shd w:val="clear" w:color="auto" w:fill="FFFFFF" w:themeFill="background1"/>
          </w:tcPr>
          <w:p w:rsidR="0024051E" w:rsidRDefault="0024051E" w:rsidP="00D45122">
            <w:pPr>
              <w:pStyle w:val="BodyText"/>
            </w:pPr>
            <w:r w:rsidRPr="00485D7B">
              <w:t>1</w:t>
            </w:r>
          </w:p>
        </w:tc>
      </w:tr>
    </w:tbl>
    <w:p w:rsidR="0024051E" w:rsidRDefault="0024051E" w:rsidP="007063DF">
      <w:pPr>
        <w:pStyle w:val="Heading2"/>
      </w:pPr>
      <w:bookmarkStart w:id="15" w:name="_Toc21701406"/>
      <w:r>
        <w:t>Building a strong organisation</w:t>
      </w:r>
      <w:bookmarkEnd w:id="15"/>
    </w:p>
    <w:p w:rsidR="0024051E" w:rsidRDefault="0024051E" w:rsidP="007063DF">
      <w:pPr>
        <w:pStyle w:val="Heading3"/>
      </w:pPr>
      <w:r>
        <w:t>Business plan 2018–20</w:t>
      </w:r>
    </w:p>
    <w:p w:rsidR="0024051E" w:rsidRDefault="0024051E" w:rsidP="00CF3E72">
      <w:pPr>
        <w:pStyle w:val="BodyText"/>
      </w:pPr>
      <w:r>
        <w:t xml:space="preserve">The Commission’s five-year strategy, </w:t>
      </w:r>
      <w:r w:rsidRPr="00485D7B">
        <w:rPr>
          <w:rStyle w:val="Characteritalic"/>
          <w:lang w:eastAsia="en-US"/>
        </w:rPr>
        <w:t>Upholding human rights close to home</w:t>
      </w:r>
      <w:r>
        <w:t xml:space="preserve">, articulates our focus on four strategic priorities that will drive our vision for a fair, safe and inclusive Victoria. These priorities are based on how we can best contribute to the change we want to see, taking into account our mandate, expertise and current community needs. The Business Plan 2018–20 outlines a program of work under each of these priority areas to contribute to delivering long-term outcomes. It also outlines how we will make an impact through the services we deliver and by bringing our principles to life. </w:t>
      </w:r>
    </w:p>
    <w:p w:rsidR="0024051E" w:rsidRDefault="0024051E" w:rsidP="007063DF">
      <w:pPr>
        <w:pStyle w:val="Heading3"/>
      </w:pPr>
      <w:r>
        <w:t>Implementing our People and Culture Plan</w:t>
      </w:r>
    </w:p>
    <w:p w:rsidR="0024051E" w:rsidRDefault="0024051E" w:rsidP="00CF3E72">
      <w:pPr>
        <w:pStyle w:val="BodyText"/>
      </w:pPr>
      <w:r>
        <w:t>The Commission developed its People and Culture Plan 2018-20, which sets out our commitment to investing in our people and our workplace by embedding our values, nurturing a diverse, inclusive and respectful workforce and ensuring a safe, healthy and productive work environment that aims to bring the best out of our people and make the Commission a great place to work.</w:t>
      </w:r>
    </w:p>
    <w:p w:rsidR="0024051E" w:rsidRDefault="0024051E" w:rsidP="00CF3E72">
      <w:pPr>
        <w:pStyle w:val="BodyText"/>
      </w:pPr>
      <w:r>
        <w:t xml:space="preserve">Under this plan, the Commission developed its internal Diversity and Inclusion Action Plan 2018–20, which focuses on recruiting and support diverse talent, monitoring and reporting on our progress and continuous learning and development. The Commission also developed its new Disability Action Plan 2018–20, which sets out how we will be accessible to, and inclusive of, people with disabilities – both internally for staff and through the delivery of our services. We also established an internal Diversity and Inclusion Reference Group to oversee the implementation of these key plans. </w:t>
      </w:r>
    </w:p>
    <w:p w:rsidR="0024051E" w:rsidRDefault="0024051E" w:rsidP="00CF3E72">
      <w:pPr>
        <w:pStyle w:val="BodyText"/>
      </w:pPr>
      <w:r>
        <w:t xml:space="preserve">The Commission also developed a range of leading practice equal opportunity employment policies, guidelines and practices, including an Equal Opportunity Positive Duty policy and procedures, a Family Violence Safety and Support policy and a Workplace Flexibility Policy and supporting toolkit. </w:t>
      </w:r>
    </w:p>
    <w:p w:rsidR="0024051E" w:rsidRDefault="0024051E" w:rsidP="007063DF">
      <w:pPr>
        <w:pStyle w:val="Heading3"/>
      </w:pPr>
      <w:r>
        <w:t>Implementing our Diversity and Inclusion Action Plan</w:t>
      </w:r>
    </w:p>
    <w:p w:rsidR="0024051E" w:rsidRDefault="0024051E" w:rsidP="00CF3E72">
      <w:pPr>
        <w:pStyle w:val="BodyText"/>
      </w:pPr>
      <w:r>
        <w:t xml:space="preserve">During 2018–19 the Commission developed its 2018–20 Diversity and Inclusion Action Plan which reflects our commitment to be a leader in fostering and sustaining a diverse and inclusive workplace culture so we are operating at our best. </w:t>
      </w:r>
    </w:p>
    <w:p w:rsidR="0024051E" w:rsidRDefault="0024051E" w:rsidP="00CF3E72">
      <w:pPr>
        <w:pStyle w:val="BodyText"/>
      </w:pPr>
      <w:r>
        <w:t xml:space="preserve">The plan has three focus areas: </w:t>
      </w:r>
    </w:p>
    <w:p w:rsidR="0024051E" w:rsidRDefault="0024051E" w:rsidP="007063DF">
      <w:pPr>
        <w:pStyle w:val="ListBullet"/>
      </w:pPr>
      <w:r>
        <w:t>recruiting and supporting diverse talent</w:t>
      </w:r>
    </w:p>
    <w:p w:rsidR="0024051E" w:rsidRDefault="0024051E" w:rsidP="007063DF">
      <w:pPr>
        <w:pStyle w:val="ListBullet"/>
      </w:pPr>
      <w:r>
        <w:t>monitoring and reporting on our progress</w:t>
      </w:r>
    </w:p>
    <w:p w:rsidR="0024051E" w:rsidRDefault="0024051E" w:rsidP="007063DF">
      <w:pPr>
        <w:pStyle w:val="ListBullet"/>
      </w:pPr>
      <w:r>
        <w:t xml:space="preserve">continuous learning and development. </w:t>
      </w:r>
    </w:p>
    <w:p w:rsidR="0024051E" w:rsidRDefault="0024051E" w:rsidP="00CF3E72">
      <w:pPr>
        <w:pStyle w:val="BodyText"/>
      </w:pPr>
      <w:r>
        <w:lastRenderedPageBreak/>
        <w:t xml:space="preserve">The Commission has delivered several initiatives to contribute to delivering the outcomes in the plan, including developing a new recruitment strategy to attract more diverse people to apply for jobs at the Commission and provide better support through the recruitment process, changing our internship program to attract and develop diverse student populations who reflect Victoria’s diversity, and establishing baseline data on our organisational demographic profile. </w:t>
      </w:r>
    </w:p>
    <w:p w:rsidR="0024051E" w:rsidRDefault="0024051E" w:rsidP="00CF3E72">
      <w:pPr>
        <w:pStyle w:val="BodyText"/>
      </w:pPr>
      <w:r>
        <w:t xml:space="preserve">We also established an internal Diversity and Inclusion Reference Group to oversee the implementation of the plan, monitor progress against the actions and make recommendations to enhance its intended impact. </w:t>
      </w:r>
    </w:p>
    <w:p w:rsidR="0024051E" w:rsidRDefault="0024051E" w:rsidP="007063DF">
      <w:pPr>
        <w:pStyle w:val="Heading3"/>
      </w:pPr>
      <w:r>
        <w:t>Implementing our digital strategy</w:t>
      </w:r>
    </w:p>
    <w:p w:rsidR="0024051E" w:rsidRDefault="0024051E" w:rsidP="00CF3E72">
      <w:pPr>
        <w:pStyle w:val="BodyText"/>
      </w:pPr>
      <w:r>
        <w:t xml:space="preserve">One of the Commission’s guiding principles in our strategic plan is to prioritise storytelling as a vehicle to help Victorians understand the importance of human rights to their work and lives. To do this we have committed to enhancing our digital presence to ensure our information is accessible and well targeted through all parts of Victoria. </w:t>
      </w:r>
    </w:p>
    <w:p w:rsidR="0024051E" w:rsidRDefault="0024051E" w:rsidP="00CF3E72">
      <w:pPr>
        <w:pStyle w:val="BodyText"/>
      </w:pPr>
      <w:r>
        <w:t xml:space="preserve">Over the past year we have focused on implementing our digital strategy. We concluded an innovative partnership with Code for Australia to host a small internal digital lab team, which used human-centred design practices to enable us to rethink our digital presence and dispute resolution application process. </w:t>
      </w:r>
    </w:p>
    <w:p w:rsidR="0024051E" w:rsidRDefault="0024051E" w:rsidP="00CF3E72">
      <w:pPr>
        <w:pStyle w:val="BodyText"/>
      </w:pPr>
      <w:r>
        <w:t xml:space="preserve">Through our digital lab we conducted 32 interviews with stakeholders, existing service users, and potential users in Victoria to better understand any difficulties Victorians experience when trying to access our services online. </w:t>
      </w:r>
    </w:p>
    <w:p w:rsidR="0024051E" w:rsidRDefault="0024051E" w:rsidP="00CF3E72">
      <w:pPr>
        <w:pStyle w:val="BodyText"/>
      </w:pPr>
      <w:r>
        <w:t xml:space="preserve">We focused on triaging information on our website, improving online complaint form and providing information in digital formats, such as video. We are currently building a new website, which has been informed by extensive user testing. The site will have improved navigation for information delivery, a focus on storytelling and Plain English and easier access for those seeking help in making a complaint. We have also redeveloped the online complaint process for users, after working with stakeholders to identify barriers and have been exploring ways to offer dispute resolution using digital technology. </w:t>
      </w:r>
    </w:p>
    <w:p w:rsidR="0024051E" w:rsidRDefault="0024051E" w:rsidP="00CF3E72">
      <w:pPr>
        <w:pStyle w:val="BodyText"/>
      </w:pPr>
      <w:r>
        <w:t xml:space="preserve">In 2019, we updated the Victorian Discrimination Law Resource with new legal developments and have worked with online publisher </w:t>
      </w:r>
      <w:r w:rsidRPr="00D75F90">
        <w:rPr>
          <w:rStyle w:val="Hyperlink"/>
        </w:rPr>
        <w:t>austlii.edu.au</w:t>
      </w:r>
      <w:r>
        <w:t xml:space="preserve"> to create a digital resource. This will make the VDL accessible through Australia’s most popular online free-access resource for Australian legal information. </w:t>
      </w:r>
    </w:p>
    <w:p w:rsidR="0024051E" w:rsidRPr="00485D7B" w:rsidRDefault="0024051E" w:rsidP="00CF3E72">
      <w:pPr>
        <w:pStyle w:val="BodyText"/>
      </w:pPr>
      <w:r w:rsidRPr="00485D7B">
        <w:t>This resource provides an overview of the Equal Opportunity Act and an analysis of the case law that helps to guide the application of the Act in practice. It also provides guidance on the scope of, and interaction between, exceptions and exemptions under the Equal Opportunity Act in light of its objective to promote substantive equality.</w:t>
      </w:r>
    </w:p>
    <w:p w:rsidR="0024051E" w:rsidRDefault="0024051E" w:rsidP="007063DF">
      <w:pPr>
        <w:pStyle w:val="Heading3"/>
      </w:pPr>
      <w:r>
        <w:t>Disability Action Plan report card</w:t>
      </w:r>
    </w:p>
    <w:p w:rsidR="0024051E" w:rsidRDefault="0024051E" w:rsidP="00CF3E72">
      <w:pPr>
        <w:pStyle w:val="BodyText"/>
      </w:pPr>
      <w:r>
        <w:t>During 2018–19, the Commission developed its new Disability Action Plan 2018–2020 (DAP). The new DAP sets out how the Commission will be accessible to and inclusive of people with disabilities and use its role to bring about improvements for people with disabilities throughout Victoria. The plan is based around five themes:</w:t>
      </w:r>
    </w:p>
    <w:p w:rsidR="0024051E" w:rsidRDefault="0024051E" w:rsidP="007063DF">
      <w:pPr>
        <w:pStyle w:val="ListBullet"/>
      </w:pPr>
      <w:r>
        <w:lastRenderedPageBreak/>
        <w:t>our services</w:t>
      </w:r>
    </w:p>
    <w:p w:rsidR="0024051E" w:rsidRDefault="0024051E" w:rsidP="007063DF">
      <w:pPr>
        <w:pStyle w:val="ListBullet"/>
      </w:pPr>
      <w:r>
        <w:t>our staff</w:t>
      </w:r>
    </w:p>
    <w:p w:rsidR="0024051E" w:rsidRDefault="0024051E" w:rsidP="007063DF">
      <w:pPr>
        <w:pStyle w:val="ListBullet"/>
      </w:pPr>
      <w:r>
        <w:t>making changes</w:t>
      </w:r>
    </w:p>
    <w:p w:rsidR="0024051E" w:rsidRDefault="0024051E" w:rsidP="007063DF">
      <w:pPr>
        <w:pStyle w:val="ListBullet"/>
      </w:pPr>
      <w:r>
        <w:t>working together</w:t>
      </w:r>
    </w:p>
    <w:p w:rsidR="0024051E" w:rsidRDefault="0024051E" w:rsidP="007063DF">
      <w:pPr>
        <w:pStyle w:val="ListBullet"/>
      </w:pPr>
      <w:r>
        <w:t xml:space="preserve">being accountable. </w:t>
      </w:r>
    </w:p>
    <w:p w:rsidR="0024051E" w:rsidRDefault="0024051E" w:rsidP="00CF3E72">
      <w:pPr>
        <w:pStyle w:val="BodyText"/>
      </w:pPr>
      <w:r>
        <w:t>A report card on the five objectives can be seen on the next page.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20" w:firstRow="1" w:lastRow="0" w:firstColumn="0" w:lastColumn="0" w:noHBand="0" w:noVBand="0"/>
      </w:tblPr>
      <w:tblGrid>
        <w:gridCol w:w="4582"/>
        <w:gridCol w:w="5489"/>
      </w:tblGrid>
      <w:tr w:rsidR="0024051E" w:rsidRPr="009549EF" w:rsidTr="009549EF">
        <w:trPr>
          <w:trHeight w:val="60"/>
          <w:tblHeader/>
        </w:trPr>
        <w:tc>
          <w:tcPr>
            <w:tcW w:w="10071" w:type="dxa"/>
            <w:gridSpan w:val="2"/>
            <w:shd w:val="clear" w:color="auto" w:fill="808080"/>
          </w:tcPr>
          <w:p w:rsidR="0024051E" w:rsidRPr="009549EF" w:rsidRDefault="0024051E" w:rsidP="00D45122">
            <w:pPr>
              <w:pStyle w:val="BodyText"/>
              <w:rPr>
                <w:color w:val="FFFFFF"/>
                <w:lang w:val="en-US"/>
              </w:rPr>
            </w:pPr>
            <w:r w:rsidRPr="009549EF">
              <w:rPr>
                <w:color w:val="FFFFFF"/>
                <w:lang w:val="en-US"/>
              </w:rPr>
              <w:t>Disability Action Plan report card</w:t>
            </w:r>
          </w:p>
        </w:tc>
      </w:tr>
      <w:tr w:rsidR="0024051E" w:rsidRPr="009549EF" w:rsidTr="009549EF">
        <w:trPr>
          <w:cantSplit/>
          <w:trHeight w:val="2554"/>
        </w:trPr>
        <w:tc>
          <w:tcPr>
            <w:tcW w:w="4582" w:type="dxa"/>
            <w:shd w:val="clear" w:color="auto" w:fill="auto"/>
          </w:tcPr>
          <w:p w:rsidR="0024051E" w:rsidRPr="009549EF" w:rsidRDefault="0024051E" w:rsidP="00D45122">
            <w:pPr>
              <w:pStyle w:val="BodyText"/>
              <w:rPr>
                <w:lang w:val="en-US"/>
              </w:rPr>
            </w:pPr>
            <w:r w:rsidRPr="009549EF">
              <w:rPr>
                <w:lang w:val="en-US"/>
              </w:rPr>
              <w:t>Objective: our premises and services are accessible to, and used by, people with disabilities.</w:t>
            </w:r>
          </w:p>
        </w:tc>
        <w:tc>
          <w:tcPr>
            <w:tcW w:w="5489" w:type="dxa"/>
            <w:shd w:val="clear" w:color="auto" w:fill="auto"/>
          </w:tcPr>
          <w:p w:rsidR="0024051E" w:rsidRPr="009549EF" w:rsidRDefault="0024051E" w:rsidP="00D45122">
            <w:pPr>
              <w:pStyle w:val="BodyText"/>
              <w:rPr>
                <w:lang w:val="en-US"/>
              </w:rPr>
            </w:pPr>
            <w:r w:rsidRPr="009549EF">
              <w:rPr>
                <w:lang w:val="en-US"/>
              </w:rPr>
              <w:t xml:space="preserve">We have maintained our accessibility standards and accreditations in relation to our service delivery and have continued to provide all our core publications in multiple accessible formats. We are in the process of rolling out the next round of disability awareness and accessibility training for staff and implementing actions that were identified in our last accessibility audit undertaken in 2018. </w:t>
            </w:r>
          </w:p>
        </w:tc>
      </w:tr>
      <w:tr w:rsidR="0024051E" w:rsidRPr="009549EF" w:rsidTr="009549EF">
        <w:trPr>
          <w:cantSplit/>
          <w:trHeight w:val="60"/>
        </w:trPr>
        <w:tc>
          <w:tcPr>
            <w:tcW w:w="4582" w:type="dxa"/>
            <w:shd w:val="clear" w:color="auto" w:fill="auto"/>
          </w:tcPr>
          <w:p w:rsidR="0024051E" w:rsidRPr="009549EF" w:rsidRDefault="0024051E" w:rsidP="00D45122">
            <w:pPr>
              <w:pStyle w:val="BodyText"/>
              <w:rPr>
                <w:lang w:val="en-US"/>
              </w:rPr>
            </w:pPr>
            <w:r w:rsidRPr="009549EF">
              <w:rPr>
                <w:lang w:val="en-US"/>
              </w:rPr>
              <w:t>Objective: increase the proportion of staff with a disability and ensure they have the resources they need to do their job.</w:t>
            </w:r>
          </w:p>
        </w:tc>
        <w:tc>
          <w:tcPr>
            <w:tcW w:w="5489" w:type="dxa"/>
            <w:shd w:val="clear" w:color="auto" w:fill="auto"/>
          </w:tcPr>
          <w:p w:rsidR="0024051E" w:rsidRPr="009549EF" w:rsidRDefault="0024051E" w:rsidP="00D45122">
            <w:pPr>
              <w:pStyle w:val="BodyText"/>
              <w:rPr>
                <w:lang w:val="en-US"/>
              </w:rPr>
            </w:pPr>
            <w:r w:rsidRPr="009549EF">
              <w:rPr>
                <w:lang w:val="en-US"/>
              </w:rPr>
              <w:t xml:space="preserve">We have made changes to the way we describe our jobs, where we advertise them and how we conduct our interviews so we can attract more diverse candidates with more diverse experience and support them better through the recruitment process. </w:t>
            </w:r>
          </w:p>
          <w:p w:rsidR="0024051E" w:rsidRPr="009549EF" w:rsidRDefault="0024051E" w:rsidP="00D45122">
            <w:pPr>
              <w:pStyle w:val="BodyText"/>
              <w:rPr>
                <w:lang w:val="en-US"/>
              </w:rPr>
            </w:pPr>
            <w:r w:rsidRPr="009549EF">
              <w:rPr>
                <w:lang w:val="en-US"/>
              </w:rPr>
              <w:t>We have developed a structured internship program which focuses on attracting student populations who reflect Victorian diversity, including students with disabilities.</w:t>
            </w:r>
          </w:p>
        </w:tc>
      </w:tr>
      <w:tr w:rsidR="0024051E" w:rsidRPr="009549EF" w:rsidTr="009549EF">
        <w:trPr>
          <w:cantSplit/>
          <w:trHeight w:val="2198"/>
        </w:trPr>
        <w:tc>
          <w:tcPr>
            <w:tcW w:w="4582" w:type="dxa"/>
            <w:shd w:val="clear" w:color="auto" w:fill="auto"/>
          </w:tcPr>
          <w:p w:rsidR="0024051E" w:rsidRPr="009549EF" w:rsidRDefault="0024051E" w:rsidP="00D45122">
            <w:pPr>
              <w:pStyle w:val="BodyText"/>
              <w:rPr>
                <w:lang w:val="en-US"/>
              </w:rPr>
            </w:pPr>
            <w:r w:rsidRPr="009549EF">
              <w:rPr>
                <w:lang w:val="en-US"/>
              </w:rPr>
              <w:t>Objective: use our functions to improve outcomes for people in Victoria with disabilities.</w:t>
            </w:r>
          </w:p>
        </w:tc>
        <w:tc>
          <w:tcPr>
            <w:tcW w:w="5489" w:type="dxa"/>
            <w:shd w:val="clear" w:color="auto" w:fill="auto"/>
          </w:tcPr>
          <w:p w:rsidR="0024051E" w:rsidRPr="009549EF" w:rsidRDefault="0024051E" w:rsidP="00D45122">
            <w:pPr>
              <w:pStyle w:val="BodyText"/>
              <w:rPr>
                <w:lang w:val="en-US"/>
              </w:rPr>
            </w:pPr>
            <w:r w:rsidRPr="009549EF">
              <w:rPr>
                <w:lang w:val="en-US"/>
              </w:rPr>
              <w:t xml:space="preserve">We are developing practical education on rights and duties under the Equal Opportunity Act for disability advocates which will focus on how to make effective use of complaint mechanisms. We are consulting with disability advocates in the design process and plan to pilot the training later in 2019, in partnership with the disability advocacy sector. </w:t>
            </w:r>
          </w:p>
        </w:tc>
      </w:tr>
      <w:tr w:rsidR="0024051E" w:rsidRPr="009549EF" w:rsidTr="009549EF">
        <w:trPr>
          <w:cantSplit/>
          <w:trHeight w:val="60"/>
        </w:trPr>
        <w:tc>
          <w:tcPr>
            <w:tcW w:w="4582" w:type="dxa"/>
            <w:shd w:val="clear" w:color="auto" w:fill="auto"/>
          </w:tcPr>
          <w:p w:rsidR="0024051E" w:rsidRPr="009549EF" w:rsidRDefault="0024051E" w:rsidP="00D45122">
            <w:pPr>
              <w:pStyle w:val="BodyText"/>
              <w:rPr>
                <w:lang w:val="en-US"/>
              </w:rPr>
            </w:pPr>
            <w:r w:rsidRPr="009549EF">
              <w:rPr>
                <w:lang w:val="en-US"/>
              </w:rPr>
              <w:lastRenderedPageBreak/>
              <w:t xml:space="preserve">Objective: work respectfully and effectively with each other and with key stakeholders and learn from experts, particularly those with lived experience of disability. </w:t>
            </w:r>
          </w:p>
        </w:tc>
        <w:tc>
          <w:tcPr>
            <w:tcW w:w="5489" w:type="dxa"/>
            <w:shd w:val="clear" w:color="auto" w:fill="auto"/>
          </w:tcPr>
          <w:p w:rsidR="0024051E" w:rsidRPr="009549EF" w:rsidRDefault="0024051E" w:rsidP="00D45122">
            <w:pPr>
              <w:pStyle w:val="BodyText"/>
              <w:rPr>
                <w:lang w:val="en-US"/>
              </w:rPr>
            </w:pPr>
            <w:r w:rsidRPr="009549EF">
              <w:rPr>
                <w:lang w:val="en-US"/>
              </w:rPr>
              <w:t>We held four meetings with our Disability Reference Group during the year. Key achievements included informing the development of the Commission’s Strategic Plan and Disability Action Plan as well as informing consultations with the UN Special Rapporteur on the Rights of Persons with Disabilities and key agency government agencies and other stakeholders.</w:t>
            </w:r>
          </w:p>
          <w:p w:rsidR="0024051E" w:rsidRPr="009549EF" w:rsidRDefault="0024051E" w:rsidP="00D45122">
            <w:pPr>
              <w:pStyle w:val="BodyText"/>
              <w:rPr>
                <w:lang w:val="en-US"/>
              </w:rPr>
            </w:pPr>
            <w:r w:rsidRPr="009549EF">
              <w:rPr>
                <w:lang w:val="en-US"/>
              </w:rPr>
              <w:t xml:space="preserve">We also conducted a survey for members of the Disability Reference Group to provide feedback on recommended improvements on the group. The Commission is considering this feedback as we plan the next iteration of the Disability Reference Group. </w:t>
            </w:r>
          </w:p>
        </w:tc>
      </w:tr>
      <w:tr w:rsidR="0024051E" w:rsidRPr="009549EF" w:rsidTr="009549EF">
        <w:trPr>
          <w:cantSplit/>
          <w:trHeight w:val="2061"/>
        </w:trPr>
        <w:tc>
          <w:tcPr>
            <w:tcW w:w="4582" w:type="dxa"/>
            <w:shd w:val="clear" w:color="auto" w:fill="auto"/>
          </w:tcPr>
          <w:p w:rsidR="0024051E" w:rsidRPr="009549EF" w:rsidRDefault="0024051E" w:rsidP="00D45122">
            <w:pPr>
              <w:pStyle w:val="BodyText"/>
              <w:rPr>
                <w:lang w:val="en-US"/>
              </w:rPr>
            </w:pPr>
            <w:r w:rsidRPr="009549EF">
              <w:rPr>
                <w:lang w:val="en-US"/>
              </w:rPr>
              <w:t>Objective: this plan is a living document which is actively used by Commission leadership, and it is easy for staff and stakeholders to track our progress.</w:t>
            </w:r>
          </w:p>
        </w:tc>
        <w:tc>
          <w:tcPr>
            <w:tcW w:w="5489" w:type="dxa"/>
            <w:shd w:val="clear" w:color="auto" w:fill="auto"/>
          </w:tcPr>
          <w:p w:rsidR="0024051E" w:rsidRPr="009549EF" w:rsidRDefault="0024051E" w:rsidP="00D45122">
            <w:pPr>
              <w:pStyle w:val="BodyText"/>
              <w:rPr>
                <w:lang w:val="en-US"/>
              </w:rPr>
            </w:pPr>
            <w:r w:rsidRPr="009549EF">
              <w:rPr>
                <w:lang w:val="en-US"/>
              </w:rPr>
              <w:t xml:space="preserve">We publish the Disability Action Plan on our website and share it with the Australian Human Rights Commission, which can collect plans from all Australian organisations. We have also established a Diversity and Inclusion Reference Group who oversees the implementation of our Diversity and Inclusion and Disability Action Plans. </w:t>
            </w:r>
          </w:p>
        </w:tc>
      </w:tr>
    </w:tbl>
    <w:p w:rsidR="0024051E" w:rsidRDefault="0024051E" w:rsidP="00CF3E72">
      <w:pPr>
        <w:pStyle w:val="BodyText"/>
      </w:pPr>
    </w:p>
    <w:p w:rsidR="0024051E" w:rsidRDefault="00D45122" w:rsidP="00485D7B">
      <w:pPr>
        <w:pStyle w:val="Heading3"/>
      </w:pPr>
      <w:r>
        <w:br w:type="page"/>
      </w:r>
      <w:r w:rsidR="0024051E" w:rsidRPr="00485D7B">
        <w:lastRenderedPageBreak/>
        <w:t>Section 3</w:t>
      </w:r>
    </w:p>
    <w:p w:rsidR="0024051E" w:rsidRDefault="0024051E" w:rsidP="00CF3E72">
      <w:pPr>
        <w:pStyle w:val="Heading1"/>
      </w:pPr>
      <w:bookmarkStart w:id="16" w:name="_Toc21701407"/>
      <w:r>
        <w:t>Compliance reporting</w:t>
      </w:r>
      <w:bookmarkEnd w:id="16"/>
    </w:p>
    <w:p w:rsidR="0024051E" w:rsidRDefault="0024051E" w:rsidP="007063DF">
      <w:pPr>
        <w:pStyle w:val="Heading3"/>
      </w:pPr>
      <w:r>
        <w:t>Non-financial disclosures</w:t>
      </w:r>
    </w:p>
    <w:p w:rsidR="00D45122" w:rsidRPr="00876966" w:rsidRDefault="00D45122" w:rsidP="00D45122">
      <w:pPr>
        <w:pStyle w:val="Heading4"/>
        <w:rPr>
          <w:lang w:eastAsia="en-US"/>
        </w:rPr>
      </w:pPr>
      <w:r w:rsidRPr="00876966">
        <w:rPr>
          <w:lang w:eastAsia="en-US"/>
        </w:rPr>
        <w:t>Organisational chart</w:t>
      </w:r>
    </w:p>
    <w:tbl>
      <w:tblPr>
        <w:tblW w:w="9190" w:type="dxa"/>
        <w:tblLook w:val="04A0" w:firstRow="1" w:lastRow="0" w:firstColumn="1" w:lastColumn="0" w:noHBand="0" w:noVBand="1"/>
      </w:tblPr>
      <w:tblGrid>
        <w:gridCol w:w="1963"/>
        <w:gridCol w:w="726"/>
        <w:gridCol w:w="146"/>
        <w:gridCol w:w="325"/>
        <w:gridCol w:w="96"/>
        <w:gridCol w:w="1417"/>
        <w:gridCol w:w="1322"/>
        <w:gridCol w:w="360"/>
        <w:gridCol w:w="161"/>
        <w:gridCol w:w="1276"/>
        <w:gridCol w:w="1398"/>
      </w:tblGrid>
      <w:tr w:rsidR="00D45122" w:rsidRPr="009549EF" w:rsidTr="00D75F90">
        <w:trPr>
          <w:trHeight w:val="315"/>
        </w:trPr>
        <w:tc>
          <w:tcPr>
            <w:tcW w:w="9190" w:type="dxa"/>
            <w:gridSpan w:val="11"/>
            <w:tcBorders>
              <w:top w:val="single" w:sz="4" w:space="0" w:color="auto"/>
              <w:left w:val="single" w:sz="4" w:space="0" w:color="auto"/>
              <w:bottom w:val="nil"/>
              <w:right w:val="single" w:sz="4" w:space="0" w:color="000000"/>
            </w:tcBorders>
            <w:vAlign w:val="bottom"/>
            <w:hideMark/>
          </w:tcPr>
          <w:p w:rsidR="00D45122" w:rsidRPr="009549EF" w:rsidRDefault="00D45122" w:rsidP="00D75F90">
            <w:pPr>
              <w:jc w:val="center"/>
              <w:rPr>
                <w:rFonts w:cs="Arial"/>
                <w:b/>
                <w:bCs/>
                <w:color w:val="000000"/>
              </w:rPr>
            </w:pPr>
            <w:bookmarkStart w:id="17" w:name="RANGE!A1"/>
            <w:bookmarkEnd w:id="17"/>
            <w:r w:rsidRPr="009549EF">
              <w:rPr>
                <w:rFonts w:cs="Arial"/>
                <w:b/>
                <w:bCs/>
                <w:noProof/>
                <w:color w:val="000000"/>
                <w:lang w:val="en-GB"/>
              </w:rPr>
              <w:t>The Board</w:t>
            </w:r>
          </w:p>
        </w:tc>
      </w:tr>
      <w:tr w:rsidR="00D45122" w:rsidRPr="009549EF" w:rsidTr="00D75F90">
        <w:trPr>
          <w:trHeight w:val="427"/>
        </w:trPr>
        <w:tc>
          <w:tcPr>
            <w:tcW w:w="2835" w:type="dxa"/>
            <w:gridSpan w:val="3"/>
            <w:tcBorders>
              <w:top w:val="nil"/>
              <w:left w:val="single" w:sz="4" w:space="0" w:color="auto"/>
              <w:bottom w:val="nil"/>
              <w:right w:val="nil"/>
            </w:tcBorders>
            <w:vAlign w:val="bottom"/>
            <w:hideMark/>
          </w:tcPr>
          <w:p w:rsidR="00D45122" w:rsidRPr="009549EF" w:rsidRDefault="00D45122" w:rsidP="00D75F90">
            <w:pPr>
              <w:jc w:val="center"/>
              <w:rPr>
                <w:rFonts w:cs="Arial"/>
                <w:color w:val="000000"/>
              </w:rPr>
            </w:pPr>
            <w:r w:rsidRPr="009549EF">
              <w:rPr>
                <w:rFonts w:cs="Arial"/>
                <w:noProof/>
                <w:color w:val="000000"/>
                <w:lang w:val="en-GB"/>
              </w:rPr>
              <w:t>Moana Weir (Chair)</w:t>
            </w:r>
          </w:p>
        </w:tc>
        <w:tc>
          <w:tcPr>
            <w:tcW w:w="325" w:type="dxa"/>
            <w:tcBorders>
              <w:top w:val="nil"/>
              <w:left w:val="nil"/>
              <w:bottom w:val="nil"/>
              <w:right w:val="nil"/>
            </w:tcBorders>
            <w:vAlign w:val="bottom"/>
            <w:hideMark/>
          </w:tcPr>
          <w:p w:rsidR="00D45122" w:rsidRPr="009549EF" w:rsidRDefault="00D45122" w:rsidP="00D75F90">
            <w:pPr>
              <w:jc w:val="center"/>
              <w:rPr>
                <w:rFonts w:cs="Arial"/>
                <w:color w:val="000000"/>
              </w:rPr>
            </w:pPr>
          </w:p>
        </w:tc>
        <w:tc>
          <w:tcPr>
            <w:tcW w:w="2835" w:type="dxa"/>
            <w:gridSpan w:val="3"/>
            <w:tcBorders>
              <w:top w:val="nil"/>
              <w:left w:val="nil"/>
              <w:bottom w:val="nil"/>
              <w:right w:val="nil"/>
            </w:tcBorders>
            <w:vAlign w:val="bottom"/>
            <w:hideMark/>
          </w:tcPr>
          <w:p w:rsidR="00D45122" w:rsidRPr="009549EF" w:rsidRDefault="00D45122" w:rsidP="00D75F90">
            <w:pPr>
              <w:jc w:val="center"/>
              <w:rPr>
                <w:rFonts w:cs="Arial"/>
                <w:color w:val="000000"/>
              </w:rPr>
            </w:pPr>
            <w:r w:rsidRPr="009549EF">
              <w:rPr>
                <w:rFonts w:cs="Arial"/>
                <w:noProof/>
                <w:color w:val="000000"/>
              </w:rPr>
              <w:t>Tim Goodwin</w:t>
            </w:r>
          </w:p>
        </w:tc>
        <w:tc>
          <w:tcPr>
            <w:tcW w:w="360" w:type="dxa"/>
            <w:tcBorders>
              <w:top w:val="nil"/>
              <w:left w:val="nil"/>
              <w:bottom w:val="nil"/>
              <w:right w:val="nil"/>
            </w:tcBorders>
            <w:vAlign w:val="bottom"/>
            <w:hideMark/>
          </w:tcPr>
          <w:p w:rsidR="00D45122" w:rsidRPr="009549EF" w:rsidRDefault="00D45122" w:rsidP="00D75F90">
            <w:pPr>
              <w:jc w:val="center"/>
              <w:rPr>
                <w:rFonts w:cs="Arial"/>
                <w:color w:val="000000"/>
              </w:rPr>
            </w:pPr>
          </w:p>
        </w:tc>
        <w:tc>
          <w:tcPr>
            <w:tcW w:w="2835" w:type="dxa"/>
            <w:gridSpan w:val="3"/>
            <w:tcBorders>
              <w:top w:val="nil"/>
              <w:left w:val="nil"/>
              <w:bottom w:val="nil"/>
              <w:right w:val="single" w:sz="4" w:space="0" w:color="000000"/>
            </w:tcBorders>
            <w:vAlign w:val="bottom"/>
            <w:hideMark/>
          </w:tcPr>
          <w:p w:rsidR="00D45122" w:rsidRPr="009549EF" w:rsidRDefault="00D45122" w:rsidP="00D75F90">
            <w:pPr>
              <w:jc w:val="center"/>
              <w:rPr>
                <w:rFonts w:cs="Arial"/>
                <w:color w:val="000000"/>
              </w:rPr>
            </w:pPr>
            <w:r w:rsidRPr="009549EF">
              <w:rPr>
                <w:rFonts w:cs="Arial"/>
                <w:noProof/>
                <w:color w:val="000000"/>
              </w:rPr>
              <w:t>Laurinda Gardner</w:t>
            </w:r>
          </w:p>
        </w:tc>
      </w:tr>
      <w:tr w:rsidR="00D45122" w:rsidRPr="009549EF" w:rsidTr="00D75F90">
        <w:trPr>
          <w:trHeight w:val="433"/>
        </w:trPr>
        <w:tc>
          <w:tcPr>
            <w:tcW w:w="2835" w:type="dxa"/>
            <w:gridSpan w:val="3"/>
            <w:tcBorders>
              <w:top w:val="nil"/>
              <w:left w:val="single" w:sz="4" w:space="0" w:color="auto"/>
              <w:bottom w:val="nil"/>
              <w:right w:val="nil"/>
            </w:tcBorders>
            <w:vAlign w:val="bottom"/>
            <w:hideMark/>
          </w:tcPr>
          <w:p w:rsidR="00D45122" w:rsidRPr="009549EF" w:rsidRDefault="00D45122" w:rsidP="00D75F90">
            <w:pPr>
              <w:jc w:val="center"/>
              <w:rPr>
                <w:rFonts w:cs="Arial"/>
                <w:color w:val="000000"/>
              </w:rPr>
            </w:pPr>
            <w:r w:rsidRPr="009549EF">
              <w:rPr>
                <w:rFonts w:cs="Arial"/>
                <w:noProof/>
                <w:color w:val="000000"/>
              </w:rPr>
              <w:t>Jennifer Huppert</w:t>
            </w:r>
          </w:p>
        </w:tc>
        <w:tc>
          <w:tcPr>
            <w:tcW w:w="325" w:type="dxa"/>
            <w:tcBorders>
              <w:top w:val="nil"/>
              <w:left w:val="nil"/>
              <w:bottom w:val="nil"/>
              <w:right w:val="nil"/>
            </w:tcBorders>
            <w:vAlign w:val="bottom"/>
            <w:hideMark/>
          </w:tcPr>
          <w:p w:rsidR="00D45122" w:rsidRPr="009549EF" w:rsidRDefault="00D45122" w:rsidP="00D75F90">
            <w:pPr>
              <w:jc w:val="center"/>
              <w:rPr>
                <w:rFonts w:cs="Arial"/>
                <w:color w:val="000000"/>
              </w:rPr>
            </w:pPr>
          </w:p>
        </w:tc>
        <w:tc>
          <w:tcPr>
            <w:tcW w:w="2835" w:type="dxa"/>
            <w:gridSpan w:val="3"/>
            <w:tcBorders>
              <w:top w:val="nil"/>
              <w:left w:val="nil"/>
              <w:bottom w:val="nil"/>
              <w:right w:val="nil"/>
            </w:tcBorders>
            <w:vAlign w:val="bottom"/>
            <w:hideMark/>
          </w:tcPr>
          <w:p w:rsidR="00D45122" w:rsidRPr="009549EF" w:rsidRDefault="00D45122" w:rsidP="00D75F90">
            <w:pPr>
              <w:jc w:val="center"/>
              <w:rPr>
                <w:rFonts w:cs="Arial"/>
                <w:color w:val="000000"/>
              </w:rPr>
            </w:pPr>
            <w:r w:rsidRPr="009549EF">
              <w:rPr>
                <w:rFonts w:cs="Arial"/>
                <w:noProof/>
                <w:color w:val="000000"/>
              </w:rPr>
              <w:t>Faddy Zouky</w:t>
            </w:r>
          </w:p>
        </w:tc>
        <w:tc>
          <w:tcPr>
            <w:tcW w:w="360" w:type="dxa"/>
            <w:tcBorders>
              <w:top w:val="nil"/>
              <w:left w:val="nil"/>
              <w:bottom w:val="nil"/>
              <w:right w:val="nil"/>
            </w:tcBorders>
            <w:vAlign w:val="bottom"/>
            <w:hideMark/>
          </w:tcPr>
          <w:p w:rsidR="00D45122" w:rsidRPr="009549EF" w:rsidRDefault="00D45122" w:rsidP="00D75F90">
            <w:pPr>
              <w:jc w:val="center"/>
              <w:rPr>
                <w:rFonts w:cs="Arial"/>
                <w:color w:val="000000"/>
              </w:rPr>
            </w:pPr>
          </w:p>
        </w:tc>
        <w:tc>
          <w:tcPr>
            <w:tcW w:w="2835" w:type="dxa"/>
            <w:gridSpan w:val="3"/>
            <w:tcBorders>
              <w:top w:val="nil"/>
              <w:left w:val="nil"/>
              <w:bottom w:val="nil"/>
              <w:right w:val="single" w:sz="4" w:space="0" w:color="000000"/>
            </w:tcBorders>
            <w:vAlign w:val="bottom"/>
            <w:hideMark/>
          </w:tcPr>
          <w:p w:rsidR="00D45122" w:rsidRPr="009549EF" w:rsidRDefault="00D45122" w:rsidP="00D75F90">
            <w:pPr>
              <w:jc w:val="center"/>
              <w:rPr>
                <w:rFonts w:cs="Arial"/>
                <w:color w:val="000000"/>
              </w:rPr>
            </w:pPr>
            <w:r w:rsidRPr="009549EF">
              <w:rPr>
                <w:rFonts w:cs="Arial"/>
                <w:noProof/>
                <w:color w:val="000000"/>
              </w:rPr>
              <w:t>Matt Finnis</w:t>
            </w:r>
          </w:p>
        </w:tc>
      </w:tr>
      <w:tr w:rsidR="00D45122" w:rsidRPr="009549EF" w:rsidTr="00D75F90">
        <w:trPr>
          <w:trHeight w:val="426"/>
        </w:trPr>
        <w:tc>
          <w:tcPr>
            <w:tcW w:w="2835" w:type="dxa"/>
            <w:gridSpan w:val="3"/>
            <w:tcBorders>
              <w:top w:val="nil"/>
              <w:left w:val="single" w:sz="4" w:space="0" w:color="auto"/>
              <w:bottom w:val="single" w:sz="4" w:space="0" w:color="auto"/>
              <w:right w:val="nil"/>
            </w:tcBorders>
            <w:vAlign w:val="bottom"/>
            <w:hideMark/>
          </w:tcPr>
          <w:p w:rsidR="00D45122" w:rsidRPr="009549EF" w:rsidRDefault="00D45122" w:rsidP="00D75F90">
            <w:pPr>
              <w:jc w:val="center"/>
              <w:rPr>
                <w:rFonts w:cs="Arial"/>
                <w:color w:val="000000"/>
              </w:rPr>
            </w:pPr>
            <w:r w:rsidRPr="009549EF">
              <w:rPr>
                <w:rFonts w:cs="Arial"/>
                <w:color w:val="000000"/>
              </w:rPr>
              <w:t> </w:t>
            </w:r>
          </w:p>
        </w:tc>
        <w:tc>
          <w:tcPr>
            <w:tcW w:w="325" w:type="dxa"/>
            <w:tcBorders>
              <w:top w:val="nil"/>
              <w:left w:val="nil"/>
              <w:bottom w:val="single" w:sz="4" w:space="0" w:color="auto"/>
              <w:right w:val="nil"/>
            </w:tcBorders>
            <w:vAlign w:val="bottom"/>
            <w:hideMark/>
          </w:tcPr>
          <w:p w:rsidR="00D45122" w:rsidRPr="009549EF" w:rsidRDefault="00D45122" w:rsidP="00D75F90">
            <w:pPr>
              <w:rPr>
                <w:rFonts w:cs="Arial"/>
                <w:color w:val="000000"/>
              </w:rPr>
            </w:pPr>
            <w:r w:rsidRPr="009549EF">
              <w:rPr>
                <w:rFonts w:cs="Arial"/>
                <w:color w:val="000000"/>
              </w:rPr>
              <w:t> </w:t>
            </w:r>
          </w:p>
        </w:tc>
        <w:tc>
          <w:tcPr>
            <w:tcW w:w="2835" w:type="dxa"/>
            <w:gridSpan w:val="3"/>
            <w:tcBorders>
              <w:top w:val="nil"/>
              <w:left w:val="nil"/>
              <w:bottom w:val="single" w:sz="4" w:space="0" w:color="auto"/>
              <w:right w:val="nil"/>
            </w:tcBorders>
            <w:vAlign w:val="bottom"/>
            <w:hideMark/>
          </w:tcPr>
          <w:p w:rsidR="00D45122" w:rsidRPr="009549EF" w:rsidRDefault="00D45122" w:rsidP="00D75F90">
            <w:pPr>
              <w:jc w:val="center"/>
              <w:rPr>
                <w:rFonts w:cs="Arial"/>
                <w:color w:val="000000"/>
              </w:rPr>
            </w:pPr>
            <w:r w:rsidRPr="009549EF">
              <w:rPr>
                <w:rFonts w:cs="Arial"/>
                <w:noProof/>
                <w:color w:val="000000"/>
              </w:rPr>
              <w:t>Rebecca Dabbs</w:t>
            </w:r>
          </w:p>
        </w:tc>
        <w:tc>
          <w:tcPr>
            <w:tcW w:w="360" w:type="dxa"/>
            <w:tcBorders>
              <w:top w:val="nil"/>
              <w:left w:val="nil"/>
              <w:bottom w:val="single" w:sz="4" w:space="0" w:color="auto"/>
              <w:right w:val="nil"/>
            </w:tcBorders>
            <w:vAlign w:val="bottom"/>
            <w:hideMark/>
          </w:tcPr>
          <w:p w:rsidR="00D45122" w:rsidRPr="009549EF" w:rsidRDefault="00D45122" w:rsidP="00D75F90">
            <w:pPr>
              <w:jc w:val="center"/>
              <w:rPr>
                <w:rFonts w:cs="Arial"/>
                <w:color w:val="000000"/>
              </w:rPr>
            </w:pPr>
            <w:r w:rsidRPr="009549EF">
              <w:rPr>
                <w:rFonts w:cs="Arial"/>
                <w:color w:val="000000"/>
              </w:rPr>
              <w:t> </w:t>
            </w:r>
          </w:p>
        </w:tc>
        <w:tc>
          <w:tcPr>
            <w:tcW w:w="2835" w:type="dxa"/>
            <w:gridSpan w:val="3"/>
            <w:tcBorders>
              <w:top w:val="nil"/>
              <w:left w:val="nil"/>
              <w:bottom w:val="single" w:sz="4" w:space="0" w:color="auto"/>
              <w:right w:val="single" w:sz="4" w:space="0" w:color="000000"/>
            </w:tcBorders>
            <w:vAlign w:val="bottom"/>
            <w:hideMark/>
          </w:tcPr>
          <w:p w:rsidR="00D45122" w:rsidRPr="009549EF" w:rsidRDefault="00D45122" w:rsidP="00D75F90">
            <w:pPr>
              <w:jc w:val="center"/>
              <w:rPr>
                <w:rFonts w:cs="Arial"/>
                <w:color w:val="000000"/>
              </w:rPr>
            </w:pPr>
            <w:r w:rsidRPr="009549EF">
              <w:rPr>
                <w:rFonts w:cs="Arial"/>
                <w:color w:val="000000"/>
              </w:rPr>
              <w:t> </w:t>
            </w:r>
          </w:p>
        </w:tc>
      </w:tr>
      <w:tr w:rsidR="00D45122" w:rsidRPr="009549EF" w:rsidTr="00D75F90">
        <w:trPr>
          <w:trHeight w:val="300"/>
        </w:trPr>
        <w:tc>
          <w:tcPr>
            <w:tcW w:w="1963" w:type="dxa"/>
            <w:tcBorders>
              <w:top w:val="nil"/>
              <w:left w:val="nil"/>
              <w:bottom w:val="nil"/>
              <w:right w:val="nil"/>
            </w:tcBorders>
            <w:vAlign w:val="bottom"/>
            <w:hideMark/>
          </w:tcPr>
          <w:p w:rsidR="00D45122" w:rsidRPr="009549EF" w:rsidRDefault="00D45122" w:rsidP="00D75F90">
            <w:pPr>
              <w:jc w:val="center"/>
              <w:rPr>
                <w:rFonts w:cs="Arial"/>
                <w:color w:val="000000"/>
              </w:rPr>
            </w:pPr>
          </w:p>
        </w:tc>
        <w:tc>
          <w:tcPr>
            <w:tcW w:w="726" w:type="dxa"/>
            <w:tcBorders>
              <w:top w:val="nil"/>
              <w:left w:val="single" w:sz="4" w:space="0" w:color="auto"/>
              <w:bottom w:val="single" w:sz="4" w:space="0" w:color="auto"/>
              <w:right w:val="nil"/>
            </w:tcBorders>
            <w:vAlign w:val="bottom"/>
            <w:hideMark/>
          </w:tcPr>
          <w:p w:rsidR="00D45122" w:rsidRPr="009549EF" w:rsidRDefault="00D45122" w:rsidP="00D75F90">
            <w:pPr>
              <w:rPr>
                <w:rFonts w:cs="Arial"/>
                <w:color w:val="000000"/>
              </w:rPr>
            </w:pPr>
            <w:r w:rsidRPr="009549EF">
              <w:rPr>
                <w:rFonts w:cs="Arial"/>
                <w:color w:val="000000"/>
              </w:rPr>
              <w:t> </w:t>
            </w:r>
          </w:p>
        </w:tc>
        <w:tc>
          <w:tcPr>
            <w:tcW w:w="567" w:type="dxa"/>
            <w:gridSpan w:val="3"/>
            <w:tcBorders>
              <w:top w:val="nil"/>
              <w:left w:val="nil"/>
              <w:bottom w:val="nil"/>
              <w:right w:val="nil"/>
            </w:tcBorders>
            <w:vAlign w:val="bottom"/>
            <w:hideMark/>
          </w:tcPr>
          <w:p w:rsidR="00D45122" w:rsidRPr="009549EF" w:rsidRDefault="00D45122" w:rsidP="00D75F90">
            <w:pPr>
              <w:rPr>
                <w:rFonts w:cs="Arial"/>
                <w:color w:val="000000"/>
              </w:rPr>
            </w:pPr>
          </w:p>
        </w:tc>
        <w:tc>
          <w:tcPr>
            <w:tcW w:w="1417" w:type="dxa"/>
            <w:tcBorders>
              <w:top w:val="nil"/>
              <w:left w:val="nil"/>
              <w:bottom w:val="single" w:sz="4" w:space="0" w:color="auto"/>
              <w:right w:val="single" w:sz="4" w:space="0" w:color="auto"/>
            </w:tcBorders>
            <w:vAlign w:val="bottom"/>
            <w:hideMark/>
          </w:tcPr>
          <w:p w:rsidR="00D45122" w:rsidRPr="009549EF" w:rsidRDefault="00D45122" w:rsidP="00D75F90">
            <w:pPr>
              <w:rPr>
                <w:rFonts w:cs="Arial"/>
                <w:color w:val="000000"/>
              </w:rPr>
            </w:pPr>
            <w:r w:rsidRPr="009549EF">
              <w:rPr>
                <w:rFonts w:cs="Arial"/>
                <w:noProof/>
                <w:color w:val="000000"/>
              </w:rPr>
              <w:t> </w:t>
            </w:r>
          </w:p>
        </w:tc>
        <w:tc>
          <w:tcPr>
            <w:tcW w:w="1322" w:type="dxa"/>
            <w:tcBorders>
              <w:top w:val="nil"/>
              <w:left w:val="nil"/>
              <w:bottom w:val="single" w:sz="4" w:space="0" w:color="auto"/>
              <w:right w:val="nil"/>
            </w:tcBorders>
            <w:vAlign w:val="bottom"/>
            <w:hideMark/>
          </w:tcPr>
          <w:p w:rsidR="00D45122" w:rsidRPr="009549EF" w:rsidRDefault="00D45122" w:rsidP="00D75F90">
            <w:pPr>
              <w:rPr>
                <w:rFonts w:cs="Arial"/>
                <w:color w:val="000000"/>
              </w:rPr>
            </w:pPr>
          </w:p>
        </w:tc>
        <w:tc>
          <w:tcPr>
            <w:tcW w:w="521" w:type="dxa"/>
            <w:gridSpan w:val="2"/>
            <w:tcBorders>
              <w:top w:val="nil"/>
              <w:left w:val="nil"/>
              <w:bottom w:val="nil"/>
              <w:right w:val="nil"/>
            </w:tcBorders>
            <w:vAlign w:val="bottom"/>
            <w:hideMark/>
          </w:tcPr>
          <w:p w:rsidR="00D45122" w:rsidRPr="009549EF" w:rsidRDefault="00D45122" w:rsidP="00D75F90">
            <w:pPr>
              <w:rPr>
                <w:rFonts w:cs="Arial"/>
                <w:color w:val="000000"/>
              </w:rPr>
            </w:pPr>
          </w:p>
        </w:tc>
        <w:tc>
          <w:tcPr>
            <w:tcW w:w="1276" w:type="dxa"/>
            <w:tcBorders>
              <w:top w:val="nil"/>
              <w:left w:val="nil"/>
              <w:bottom w:val="single" w:sz="4" w:space="0" w:color="auto"/>
              <w:right w:val="single" w:sz="4" w:space="0" w:color="auto"/>
            </w:tcBorders>
            <w:vAlign w:val="bottom"/>
            <w:hideMark/>
          </w:tcPr>
          <w:p w:rsidR="00D45122" w:rsidRPr="009549EF" w:rsidRDefault="00D45122" w:rsidP="00D75F90">
            <w:pPr>
              <w:rPr>
                <w:rFonts w:cs="Arial"/>
                <w:color w:val="000000"/>
              </w:rPr>
            </w:pPr>
            <w:r w:rsidRPr="009549EF">
              <w:rPr>
                <w:rFonts w:cs="Arial"/>
                <w:noProof/>
                <w:color w:val="000000"/>
              </w:rPr>
              <w:t> </w:t>
            </w:r>
          </w:p>
        </w:tc>
        <w:tc>
          <w:tcPr>
            <w:tcW w:w="1398" w:type="dxa"/>
            <w:tcBorders>
              <w:top w:val="nil"/>
              <w:left w:val="nil"/>
              <w:bottom w:val="single" w:sz="4" w:space="0" w:color="auto"/>
              <w:right w:val="nil"/>
            </w:tcBorders>
            <w:vAlign w:val="bottom"/>
            <w:hideMark/>
          </w:tcPr>
          <w:p w:rsidR="00D45122" w:rsidRPr="009549EF" w:rsidRDefault="00D45122" w:rsidP="00D75F90">
            <w:pPr>
              <w:rPr>
                <w:rFonts w:cs="Arial"/>
                <w:color w:val="000000"/>
              </w:rPr>
            </w:pPr>
            <w:r w:rsidRPr="009549EF">
              <w:rPr>
                <w:rFonts w:cs="Arial"/>
                <w:noProof/>
                <w:color w:val="000000"/>
              </w:rPr>
              <w:t> </w:t>
            </w:r>
          </w:p>
        </w:tc>
      </w:tr>
      <w:tr w:rsidR="00D45122" w:rsidRPr="009549EF" w:rsidTr="00D75F90">
        <w:trPr>
          <w:trHeight w:val="255"/>
        </w:trPr>
        <w:tc>
          <w:tcPr>
            <w:tcW w:w="2689" w:type="dxa"/>
            <w:gridSpan w:val="2"/>
            <w:vMerge w:val="restart"/>
            <w:tcBorders>
              <w:top w:val="single" w:sz="4" w:space="0" w:color="auto"/>
              <w:left w:val="single" w:sz="4" w:space="0" w:color="auto"/>
              <w:bottom w:val="single" w:sz="4" w:space="0" w:color="auto"/>
              <w:right w:val="single" w:sz="4" w:space="0" w:color="auto"/>
            </w:tcBorders>
            <w:vAlign w:val="bottom"/>
            <w:hideMark/>
          </w:tcPr>
          <w:p w:rsidR="00D45122" w:rsidRPr="009549EF" w:rsidRDefault="00D45122" w:rsidP="00D75F90">
            <w:pPr>
              <w:jc w:val="center"/>
              <w:rPr>
                <w:rFonts w:cs="Arial"/>
                <w:color w:val="000000"/>
              </w:rPr>
            </w:pPr>
            <w:r w:rsidRPr="009549EF">
              <w:rPr>
                <w:rFonts w:cs="Arial"/>
                <w:noProof/>
                <w:color w:val="000000"/>
              </w:rPr>
              <w:t xml:space="preserve">Audit and Risk </w:t>
            </w:r>
            <w:r w:rsidRPr="009549EF">
              <w:rPr>
                <w:rFonts w:cs="Arial"/>
                <w:noProof/>
                <w:color w:val="000000"/>
              </w:rPr>
              <w:br/>
              <w:t>Committee</w:t>
            </w:r>
          </w:p>
        </w:tc>
        <w:tc>
          <w:tcPr>
            <w:tcW w:w="567" w:type="dxa"/>
            <w:gridSpan w:val="3"/>
            <w:tcBorders>
              <w:top w:val="nil"/>
              <w:left w:val="nil"/>
              <w:bottom w:val="nil"/>
              <w:right w:val="single" w:sz="4" w:space="0" w:color="auto"/>
            </w:tcBorders>
            <w:vAlign w:val="bottom"/>
            <w:hideMark/>
          </w:tcPr>
          <w:p w:rsidR="00D45122" w:rsidRPr="009549EF" w:rsidRDefault="00D45122" w:rsidP="00D75F90">
            <w:pPr>
              <w:rPr>
                <w:rFonts w:cs="Arial"/>
                <w:color w:val="000000"/>
              </w:rPr>
            </w:pPr>
            <w:r w:rsidRPr="009549EF">
              <w:rPr>
                <w:rFonts w:cs="Arial"/>
                <w:color w:val="000000"/>
              </w:rPr>
              <w:t> </w:t>
            </w:r>
          </w:p>
        </w:tc>
        <w:tc>
          <w:tcPr>
            <w:tcW w:w="2739" w:type="dxa"/>
            <w:gridSpan w:val="2"/>
            <w:vMerge w:val="restart"/>
            <w:tcBorders>
              <w:top w:val="single" w:sz="4" w:space="0" w:color="auto"/>
              <w:left w:val="single" w:sz="4" w:space="0" w:color="auto"/>
              <w:bottom w:val="single" w:sz="4" w:space="0" w:color="000000"/>
              <w:right w:val="single" w:sz="4" w:space="0" w:color="000000"/>
            </w:tcBorders>
            <w:vAlign w:val="bottom"/>
            <w:hideMark/>
          </w:tcPr>
          <w:p w:rsidR="00D45122" w:rsidRPr="009549EF" w:rsidRDefault="00D45122" w:rsidP="00D75F90">
            <w:pPr>
              <w:jc w:val="center"/>
              <w:rPr>
                <w:rFonts w:cs="Arial"/>
                <w:color w:val="000000"/>
              </w:rPr>
            </w:pPr>
            <w:r w:rsidRPr="009549EF">
              <w:rPr>
                <w:rFonts w:cs="Arial"/>
                <w:noProof/>
                <w:color w:val="000000"/>
              </w:rPr>
              <w:t>Kristen Hilton (Commissioner)</w:t>
            </w:r>
          </w:p>
        </w:tc>
        <w:tc>
          <w:tcPr>
            <w:tcW w:w="521" w:type="dxa"/>
            <w:gridSpan w:val="2"/>
            <w:tcBorders>
              <w:top w:val="nil"/>
              <w:left w:val="nil"/>
              <w:bottom w:val="nil"/>
              <w:right w:val="single" w:sz="4" w:space="0" w:color="auto"/>
            </w:tcBorders>
            <w:vAlign w:val="bottom"/>
            <w:hideMark/>
          </w:tcPr>
          <w:p w:rsidR="00D45122" w:rsidRPr="009549EF" w:rsidRDefault="00D45122" w:rsidP="00D75F90">
            <w:pPr>
              <w:jc w:val="center"/>
              <w:rPr>
                <w:rFonts w:cs="Arial"/>
                <w:color w:val="000000"/>
              </w:rPr>
            </w:pPr>
            <w:r w:rsidRPr="009549EF">
              <w:rPr>
                <w:rFonts w:cs="Arial"/>
                <w:color w:val="000000"/>
              </w:rPr>
              <w:t> </w:t>
            </w:r>
          </w:p>
        </w:tc>
        <w:tc>
          <w:tcPr>
            <w:tcW w:w="2674" w:type="dxa"/>
            <w:gridSpan w:val="2"/>
            <w:vMerge w:val="restart"/>
            <w:tcBorders>
              <w:top w:val="single" w:sz="4" w:space="0" w:color="auto"/>
              <w:left w:val="nil"/>
              <w:bottom w:val="single" w:sz="4" w:space="0" w:color="auto"/>
              <w:right w:val="single" w:sz="4" w:space="0" w:color="auto"/>
            </w:tcBorders>
            <w:vAlign w:val="bottom"/>
            <w:hideMark/>
          </w:tcPr>
          <w:p w:rsidR="00D45122" w:rsidRPr="009549EF" w:rsidRDefault="00D45122" w:rsidP="00D75F90">
            <w:pPr>
              <w:jc w:val="center"/>
              <w:rPr>
                <w:rFonts w:cs="Arial"/>
                <w:color w:val="000000"/>
              </w:rPr>
            </w:pPr>
            <w:r w:rsidRPr="009549EF">
              <w:rPr>
                <w:rFonts w:cs="Arial"/>
                <w:noProof/>
                <w:color w:val="000000"/>
              </w:rPr>
              <w:t>Remuneration Committee</w:t>
            </w:r>
          </w:p>
        </w:tc>
      </w:tr>
      <w:tr w:rsidR="00D45122" w:rsidRPr="009549EF" w:rsidTr="00D75F90">
        <w:trPr>
          <w:trHeight w:val="300"/>
        </w:trPr>
        <w:tc>
          <w:tcPr>
            <w:tcW w:w="2689" w:type="dxa"/>
            <w:gridSpan w:val="2"/>
            <w:vMerge/>
            <w:tcBorders>
              <w:top w:val="single" w:sz="4" w:space="0" w:color="auto"/>
              <w:left w:val="single" w:sz="4" w:space="0" w:color="auto"/>
              <w:bottom w:val="single" w:sz="4" w:space="0" w:color="auto"/>
              <w:right w:val="single" w:sz="4" w:space="0" w:color="auto"/>
            </w:tcBorders>
            <w:vAlign w:val="center"/>
            <w:hideMark/>
          </w:tcPr>
          <w:p w:rsidR="00D45122" w:rsidRPr="009549EF" w:rsidRDefault="00D45122" w:rsidP="00D75F90">
            <w:pPr>
              <w:rPr>
                <w:rFonts w:cs="Arial"/>
                <w:color w:val="000000"/>
              </w:rPr>
            </w:pPr>
          </w:p>
        </w:tc>
        <w:tc>
          <w:tcPr>
            <w:tcW w:w="567" w:type="dxa"/>
            <w:gridSpan w:val="3"/>
            <w:tcBorders>
              <w:top w:val="dashed" w:sz="4" w:space="0" w:color="auto"/>
              <w:left w:val="nil"/>
              <w:bottom w:val="nil"/>
              <w:right w:val="single" w:sz="4" w:space="0" w:color="auto"/>
            </w:tcBorders>
            <w:vAlign w:val="bottom"/>
            <w:hideMark/>
          </w:tcPr>
          <w:p w:rsidR="00D45122" w:rsidRPr="009549EF" w:rsidRDefault="00D45122" w:rsidP="00D75F90">
            <w:pPr>
              <w:rPr>
                <w:rFonts w:cs="Arial"/>
                <w:color w:val="000000"/>
              </w:rPr>
            </w:pPr>
            <w:r w:rsidRPr="009549EF">
              <w:rPr>
                <w:rFonts w:cs="Arial"/>
                <w:color w:val="000000"/>
              </w:rPr>
              <w:t> </w:t>
            </w:r>
          </w:p>
        </w:tc>
        <w:tc>
          <w:tcPr>
            <w:tcW w:w="2739" w:type="dxa"/>
            <w:gridSpan w:val="2"/>
            <w:vMerge/>
            <w:tcBorders>
              <w:top w:val="dashed" w:sz="4" w:space="0" w:color="auto"/>
              <w:left w:val="nil"/>
              <w:bottom w:val="single" w:sz="4" w:space="0" w:color="auto"/>
              <w:right w:val="single" w:sz="4" w:space="0" w:color="auto"/>
            </w:tcBorders>
            <w:vAlign w:val="center"/>
            <w:hideMark/>
          </w:tcPr>
          <w:p w:rsidR="00D45122" w:rsidRPr="009549EF" w:rsidRDefault="00D45122" w:rsidP="00D75F90">
            <w:pPr>
              <w:rPr>
                <w:rFonts w:cs="Arial"/>
                <w:color w:val="000000"/>
              </w:rPr>
            </w:pPr>
          </w:p>
        </w:tc>
        <w:tc>
          <w:tcPr>
            <w:tcW w:w="521" w:type="dxa"/>
            <w:gridSpan w:val="2"/>
            <w:tcBorders>
              <w:top w:val="dashed" w:sz="4" w:space="0" w:color="auto"/>
              <w:left w:val="nil"/>
              <w:bottom w:val="nil"/>
              <w:right w:val="single" w:sz="4" w:space="0" w:color="auto"/>
            </w:tcBorders>
            <w:vAlign w:val="bottom"/>
            <w:hideMark/>
          </w:tcPr>
          <w:p w:rsidR="00D45122" w:rsidRPr="009549EF" w:rsidRDefault="00D45122" w:rsidP="00D75F90">
            <w:pPr>
              <w:jc w:val="center"/>
              <w:rPr>
                <w:rFonts w:cs="Arial"/>
                <w:color w:val="000000"/>
              </w:rPr>
            </w:pPr>
            <w:r w:rsidRPr="009549EF">
              <w:rPr>
                <w:rFonts w:cs="Arial"/>
                <w:color w:val="000000"/>
              </w:rPr>
              <w:t> </w:t>
            </w:r>
          </w:p>
        </w:tc>
        <w:tc>
          <w:tcPr>
            <w:tcW w:w="2674" w:type="dxa"/>
            <w:gridSpan w:val="2"/>
            <w:vMerge/>
            <w:tcBorders>
              <w:top w:val="dashed" w:sz="4" w:space="0" w:color="auto"/>
              <w:left w:val="nil"/>
              <w:bottom w:val="single" w:sz="4" w:space="0" w:color="auto"/>
              <w:right w:val="single" w:sz="4" w:space="0" w:color="auto"/>
            </w:tcBorders>
            <w:vAlign w:val="center"/>
            <w:hideMark/>
          </w:tcPr>
          <w:p w:rsidR="00D45122" w:rsidRPr="009549EF" w:rsidRDefault="00D45122" w:rsidP="00D75F90">
            <w:pPr>
              <w:rPr>
                <w:rFonts w:cs="Arial"/>
                <w:color w:val="000000"/>
              </w:rPr>
            </w:pPr>
          </w:p>
        </w:tc>
      </w:tr>
      <w:tr w:rsidR="00D45122" w:rsidRPr="009549EF" w:rsidTr="00D75F90">
        <w:trPr>
          <w:trHeight w:val="300"/>
        </w:trPr>
        <w:tc>
          <w:tcPr>
            <w:tcW w:w="1963" w:type="dxa"/>
            <w:tcBorders>
              <w:top w:val="nil"/>
              <w:left w:val="nil"/>
              <w:bottom w:val="nil"/>
              <w:right w:val="nil"/>
            </w:tcBorders>
            <w:vAlign w:val="bottom"/>
            <w:hideMark/>
          </w:tcPr>
          <w:p w:rsidR="00D45122" w:rsidRPr="009549EF" w:rsidRDefault="00D45122" w:rsidP="00D75F90">
            <w:pPr>
              <w:jc w:val="center"/>
              <w:rPr>
                <w:rFonts w:cs="Arial"/>
                <w:color w:val="000000"/>
              </w:rPr>
            </w:pPr>
          </w:p>
        </w:tc>
        <w:tc>
          <w:tcPr>
            <w:tcW w:w="726" w:type="dxa"/>
            <w:tcBorders>
              <w:top w:val="nil"/>
              <w:left w:val="nil"/>
              <w:bottom w:val="nil"/>
              <w:right w:val="nil"/>
            </w:tcBorders>
            <w:vAlign w:val="bottom"/>
            <w:hideMark/>
          </w:tcPr>
          <w:p w:rsidR="00D45122" w:rsidRPr="009549EF" w:rsidRDefault="00D45122" w:rsidP="00D75F90">
            <w:pPr>
              <w:rPr>
                <w:rFonts w:ascii="Times New Roman" w:hAnsi="Times New Roman"/>
                <w:sz w:val="20"/>
                <w:szCs w:val="20"/>
              </w:rPr>
            </w:pPr>
          </w:p>
        </w:tc>
        <w:tc>
          <w:tcPr>
            <w:tcW w:w="567" w:type="dxa"/>
            <w:gridSpan w:val="3"/>
            <w:tcBorders>
              <w:top w:val="nil"/>
              <w:left w:val="nil"/>
              <w:bottom w:val="nil"/>
              <w:right w:val="nil"/>
            </w:tcBorders>
            <w:vAlign w:val="bottom"/>
            <w:hideMark/>
          </w:tcPr>
          <w:p w:rsidR="00D45122" w:rsidRPr="009549EF" w:rsidRDefault="00D45122" w:rsidP="00D75F90">
            <w:pPr>
              <w:rPr>
                <w:rFonts w:ascii="Times New Roman" w:hAnsi="Times New Roman"/>
                <w:sz w:val="20"/>
                <w:szCs w:val="20"/>
              </w:rPr>
            </w:pPr>
          </w:p>
        </w:tc>
        <w:tc>
          <w:tcPr>
            <w:tcW w:w="1417" w:type="dxa"/>
            <w:tcBorders>
              <w:top w:val="single" w:sz="4" w:space="0" w:color="auto"/>
              <w:left w:val="nil"/>
              <w:bottom w:val="nil"/>
              <w:right w:val="single" w:sz="4" w:space="0" w:color="auto"/>
            </w:tcBorders>
            <w:vAlign w:val="bottom"/>
            <w:hideMark/>
          </w:tcPr>
          <w:p w:rsidR="00D45122" w:rsidRPr="009549EF" w:rsidRDefault="00D45122" w:rsidP="00D75F90">
            <w:pPr>
              <w:rPr>
                <w:rFonts w:cs="Arial"/>
                <w:color w:val="000000"/>
              </w:rPr>
            </w:pPr>
            <w:r w:rsidRPr="009549EF">
              <w:rPr>
                <w:rFonts w:cs="Arial"/>
                <w:color w:val="000000"/>
              </w:rPr>
              <w:t> </w:t>
            </w:r>
          </w:p>
        </w:tc>
        <w:tc>
          <w:tcPr>
            <w:tcW w:w="1322" w:type="dxa"/>
            <w:tcBorders>
              <w:top w:val="single" w:sz="4" w:space="0" w:color="auto"/>
              <w:left w:val="nil"/>
              <w:bottom w:val="nil"/>
              <w:right w:val="nil"/>
            </w:tcBorders>
            <w:vAlign w:val="bottom"/>
            <w:hideMark/>
          </w:tcPr>
          <w:p w:rsidR="00D45122" w:rsidRPr="009549EF" w:rsidRDefault="00D45122" w:rsidP="00D75F90">
            <w:pPr>
              <w:rPr>
                <w:rFonts w:cs="Arial"/>
                <w:color w:val="000000"/>
              </w:rPr>
            </w:pPr>
            <w:r w:rsidRPr="009549EF">
              <w:rPr>
                <w:rFonts w:cs="Arial"/>
                <w:color w:val="000000"/>
              </w:rPr>
              <w:t> </w:t>
            </w:r>
          </w:p>
        </w:tc>
        <w:tc>
          <w:tcPr>
            <w:tcW w:w="521" w:type="dxa"/>
            <w:gridSpan w:val="2"/>
            <w:tcBorders>
              <w:top w:val="nil"/>
              <w:left w:val="nil"/>
              <w:bottom w:val="nil"/>
              <w:right w:val="nil"/>
            </w:tcBorders>
            <w:vAlign w:val="bottom"/>
            <w:hideMark/>
          </w:tcPr>
          <w:p w:rsidR="00D45122" w:rsidRPr="009549EF" w:rsidRDefault="00D45122" w:rsidP="00D75F90">
            <w:pPr>
              <w:rPr>
                <w:rFonts w:cs="Arial"/>
                <w:color w:val="000000"/>
              </w:rPr>
            </w:pPr>
          </w:p>
        </w:tc>
        <w:tc>
          <w:tcPr>
            <w:tcW w:w="1276" w:type="dxa"/>
            <w:tcBorders>
              <w:top w:val="single" w:sz="4" w:space="0" w:color="auto"/>
              <w:left w:val="nil"/>
              <w:bottom w:val="nil"/>
              <w:right w:val="nil"/>
            </w:tcBorders>
            <w:vAlign w:val="bottom"/>
            <w:hideMark/>
          </w:tcPr>
          <w:p w:rsidR="00D45122" w:rsidRPr="009549EF" w:rsidRDefault="00D45122" w:rsidP="00D75F90">
            <w:pPr>
              <w:rPr>
                <w:rFonts w:ascii="Times New Roman" w:hAnsi="Times New Roman"/>
                <w:sz w:val="20"/>
                <w:szCs w:val="20"/>
              </w:rPr>
            </w:pPr>
          </w:p>
        </w:tc>
        <w:tc>
          <w:tcPr>
            <w:tcW w:w="1398" w:type="dxa"/>
            <w:tcBorders>
              <w:top w:val="single" w:sz="4" w:space="0" w:color="auto"/>
              <w:left w:val="nil"/>
              <w:bottom w:val="nil"/>
              <w:right w:val="nil"/>
            </w:tcBorders>
            <w:vAlign w:val="bottom"/>
            <w:hideMark/>
          </w:tcPr>
          <w:p w:rsidR="00D45122" w:rsidRPr="009549EF" w:rsidRDefault="00D45122" w:rsidP="00D75F90">
            <w:pPr>
              <w:rPr>
                <w:rFonts w:ascii="Times New Roman" w:hAnsi="Times New Roman"/>
                <w:sz w:val="20"/>
                <w:szCs w:val="20"/>
              </w:rPr>
            </w:pPr>
          </w:p>
        </w:tc>
      </w:tr>
      <w:tr w:rsidR="00D45122" w:rsidRPr="009549EF" w:rsidTr="00D75F90">
        <w:trPr>
          <w:gridBefore w:val="1"/>
          <w:wBefore w:w="1963" w:type="dxa"/>
          <w:trHeight w:val="300"/>
        </w:trPr>
        <w:tc>
          <w:tcPr>
            <w:tcW w:w="726" w:type="dxa"/>
            <w:tcBorders>
              <w:top w:val="nil"/>
              <w:left w:val="nil"/>
              <w:bottom w:val="nil"/>
              <w:right w:val="nil"/>
            </w:tcBorders>
            <w:vAlign w:val="bottom"/>
            <w:hideMark/>
          </w:tcPr>
          <w:p w:rsidR="00D45122" w:rsidRPr="009549EF" w:rsidRDefault="00D45122" w:rsidP="00D75F90">
            <w:pPr>
              <w:rPr>
                <w:rFonts w:ascii="Times New Roman" w:hAnsi="Times New Roman"/>
                <w:sz w:val="20"/>
                <w:szCs w:val="20"/>
              </w:rPr>
            </w:pPr>
          </w:p>
        </w:tc>
        <w:tc>
          <w:tcPr>
            <w:tcW w:w="567" w:type="dxa"/>
            <w:gridSpan w:val="3"/>
            <w:tcBorders>
              <w:top w:val="nil"/>
              <w:left w:val="nil"/>
              <w:bottom w:val="nil"/>
              <w:right w:val="nil"/>
            </w:tcBorders>
            <w:vAlign w:val="bottom"/>
            <w:hideMark/>
          </w:tcPr>
          <w:p w:rsidR="00D45122" w:rsidRPr="009549EF" w:rsidRDefault="00D45122" w:rsidP="00D75F90">
            <w:pPr>
              <w:rPr>
                <w:rFonts w:ascii="Times New Roman" w:hAnsi="Times New Roman"/>
                <w:sz w:val="20"/>
                <w:szCs w:val="20"/>
              </w:rPr>
            </w:pPr>
          </w:p>
        </w:tc>
        <w:tc>
          <w:tcPr>
            <w:tcW w:w="1417" w:type="dxa"/>
            <w:tcBorders>
              <w:top w:val="nil"/>
              <w:left w:val="nil"/>
              <w:bottom w:val="single" w:sz="4" w:space="0" w:color="auto"/>
              <w:right w:val="single" w:sz="4" w:space="0" w:color="auto"/>
            </w:tcBorders>
            <w:vAlign w:val="bottom"/>
            <w:hideMark/>
          </w:tcPr>
          <w:p w:rsidR="00D45122" w:rsidRPr="009549EF" w:rsidRDefault="00D45122" w:rsidP="00D75F90">
            <w:pPr>
              <w:rPr>
                <w:rFonts w:cs="Arial"/>
                <w:color w:val="000000"/>
              </w:rPr>
            </w:pPr>
            <w:r w:rsidRPr="009549EF">
              <w:rPr>
                <w:rFonts w:cs="Arial"/>
                <w:noProof/>
                <w:color w:val="000000"/>
              </w:rPr>
              <w:t> </w:t>
            </w:r>
          </w:p>
        </w:tc>
        <w:tc>
          <w:tcPr>
            <w:tcW w:w="1322" w:type="dxa"/>
            <w:tcBorders>
              <w:top w:val="nil"/>
              <w:left w:val="nil"/>
              <w:bottom w:val="single" w:sz="4" w:space="0" w:color="auto"/>
              <w:right w:val="nil"/>
            </w:tcBorders>
            <w:vAlign w:val="bottom"/>
            <w:hideMark/>
          </w:tcPr>
          <w:p w:rsidR="00D45122" w:rsidRPr="009549EF" w:rsidRDefault="00D45122" w:rsidP="00D75F90">
            <w:pPr>
              <w:rPr>
                <w:rFonts w:cs="Arial"/>
                <w:color w:val="000000"/>
              </w:rPr>
            </w:pPr>
            <w:r w:rsidRPr="009549EF">
              <w:rPr>
                <w:rFonts w:cs="Arial"/>
                <w:noProof/>
                <w:color w:val="000000"/>
              </w:rPr>
              <w:t> </w:t>
            </w:r>
          </w:p>
        </w:tc>
        <w:tc>
          <w:tcPr>
            <w:tcW w:w="521" w:type="dxa"/>
            <w:gridSpan w:val="2"/>
            <w:tcBorders>
              <w:top w:val="nil"/>
              <w:left w:val="nil"/>
              <w:bottom w:val="nil"/>
              <w:right w:val="nil"/>
            </w:tcBorders>
            <w:vAlign w:val="bottom"/>
            <w:hideMark/>
          </w:tcPr>
          <w:p w:rsidR="00D45122" w:rsidRPr="009549EF" w:rsidRDefault="00D45122" w:rsidP="00D75F90">
            <w:pPr>
              <w:rPr>
                <w:rFonts w:cs="Arial"/>
                <w:color w:val="000000"/>
              </w:rPr>
            </w:pPr>
          </w:p>
        </w:tc>
        <w:tc>
          <w:tcPr>
            <w:tcW w:w="1276" w:type="dxa"/>
            <w:tcBorders>
              <w:top w:val="nil"/>
              <w:left w:val="nil"/>
              <w:bottom w:val="nil"/>
              <w:right w:val="nil"/>
            </w:tcBorders>
            <w:vAlign w:val="bottom"/>
            <w:hideMark/>
          </w:tcPr>
          <w:p w:rsidR="00D45122" w:rsidRPr="009549EF" w:rsidRDefault="00D45122" w:rsidP="00D75F90">
            <w:pPr>
              <w:rPr>
                <w:rFonts w:ascii="Times New Roman" w:hAnsi="Times New Roman"/>
                <w:sz w:val="20"/>
                <w:szCs w:val="20"/>
              </w:rPr>
            </w:pPr>
          </w:p>
        </w:tc>
        <w:tc>
          <w:tcPr>
            <w:tcW w:w="1398" w:type="dxa"/>
            <w:tcBorders>
              <w:top w:val="nil"/>
              <w:left w:val="nil"/>
              <w:bottom w:val="nil"/>
              <w:right w:val="nil"/>
            </w:tcBorders>
            <w:vAlign w:val="bottom"/>
            <w:hideMark/>
          </w:tcPr>
          <w:p w:rsidR="00D45122" w:rsidRPr="009549EF" w:rsidRDefault="00D45122" w:rsidP="00D75F90">
            <w:pPr>
              <w:rPr>
                <w:rFonts w:ascii="Times New Roman" w:hAnsi="Times New Roman"/>
                <w:sz w:val="20"/>
                <w:szCs w:val="20"/>
              </w:rPr>
            </w:pPr>
          </w:p>
        </w:tc>
      </w:tr>
      <w:tr w:rsidR="00D45122" w:rsidRPr="009549EF" w:rsidTr="00D75F90">
        <w:trPr>
          <w:trHeight w:val="765"/>
        </w:trPr>
        <w:tc>
          <w:tcPr>
            <w:tcW w:w="1963" w:type="dxa"/>
            <w:tcBorders>
              <w:top w:val="nil"/>
              <w:left w:val="nil"/>
              <w:bottom w:val="nil"/>
              <w:right w:val="nil"/>
            </w:tcBorders>
            <w:vAlign w:val="bottom"/>
            <w:hideMark/>
          </w:tcPr>
          <w:p w:rsidR="00D45122" w:rsidRPr="009549EF" w:rsidRDefault="00D45122" w:rsidP="00D75F90">
            <w:pPr>
              <w:rPr>
                <w:rFonts w:ascii="Times New Roman" w:hAnsi="Times New Roman"/>
                <w:sz w:val="20"/>
                <w:szCs w:val="20"/>
              </w:rPr>
            </w:pPr>
          </w:p>
        </w:tc>
        <w:tc>
          <w:tcPr>
            <w:tcW w:w="726" w:type="dxa"/>
            <w:tcBorders>
              <w:top w:val="nil"/>
              <w:left w:val="nil"/>
              <w:bottom w:val="nil"/>
              <w:right w:val="nil"/>
            </w:tcBorders>
            <w:vAlign w:val="bottom"/>
            <w:hideMark/>
          </w:tcPr>
          <w:p w:rsidR="00D45122" w:rsidRPr="009549EF" w:rsidRDefault="00D45122" w:rsidP="00D75F90">
            <w:pPr>
              <w:rPr>
                <w:rFonts w:ascii="Times New Roman" w:hAnsi="Times New Roman"/>
                <w:sz w:val="20"/>
                <w:szCs w:val="20"/>
              </w:rPr>
            </w:pPr>
          </w:p>
        </w:tc>
        <w:tc>
          <w:tcPr>
            <w:tcW w:w="567" w:type="dxa"/>
            <w:gridSpan w:val="3"/>
            <w:tcBorders>
              <w:top w:val="nil"/>
              <w:left w:val="nil"/>
              <w:bottom w:val="nil"/>
              <w:right w:val="nil"/>
            </w:tcBorders>
            <w:vAlign w:val="bottom"/>
            <w:hideMark/>
          </w:tcPr>
          <w:p w:rsidR="00D45122" w:rsidRPr="009549EF" w:rsidRDefault="00D45122" w:rsidP="00D75F90">
            <w:pPr>
              <w:rPr>
                <w:rFonts w:ascii="Times New Roman" w:hAnsi="Times New Roman"/>
                <w:sz w:val="20"/>
                <w:szCs w:val="20"/>
              </w:rPr>
            </w:pPr>
          </w:p>
        </w:tc>
        <w:tc>
          <w:tcPr>
            <w:tcW w:w="2739" w:type="dxa"/>
            <w:gridSpan w:val="2"/>
            <w:tcBorders>
              <w:top w:val="nil"/>
              <w:left w:val="single" w:sz="4" w:space="0" w:color="auto"/>
              <w:bottom w:val="single" w:sz="4" w:space="0" w:color="auto"/>
              <w:right w:val="single" w:sz="4" w:space="0" w:color="000000"/>
            </w:tcBorders>
            <w:vAlign w:val="bottom"/>
            <w:hideMark/>
          </w:tcPr>
          <w:p w:rsidR="00D45122" w:rsidRPr="009549EF" w:rsidRDefault="00D45122" w:rsidP="00D75F90">
            <w:pPr>
              <w:jc w:val="center"/>
              <w:rPr>
                <w:rFonts w:cs="Arial"/>
                <w:color w:val="000000"/>
              </w:rPr>
            </w:pPr>
            <w:r w:rsidRPr="009549EF">
              <w:rPr>
                <w:rFonts w:cs="Arial"/>
                <w:noProof/>
                <w:color w:val="000000"/>
              </w:rPr>
              <w:t>Catherine Dixon (Executive Director)</w:t>
            </w:r>
          </w:p>
        </w:tc>
        <w:tc>
          <w:tcPr>
            <w:tcW w:w="521" w:type="dxa"/>
            <w:gridSpan w:val="2"/>
            <w:tcBorders>
              <w:top w:val="nil"/>
              <w:left w:val="nil"/>
              <w:bottom w:val="nil"/>
              <w:right w:val="nil"/>
            </w:tcBorders>
            <w:vAlign w:val="bottom"/>
            <w:hideMark/>
          </w:tcPr>
          <w:p w:rsidR="00D45122" w:rsidRPr="009549EF" w:rsidRDefault="00D45122" w:rsidP="00D75F90">
            <w:pPr>
              <w:jc w:val="center"/>
              <w:rPr>
                <w:rFonts w:cs="Arial"/>
                <w:color w:val="000000"/>
              </w:rPr>
            </w:pPr>
          </w:p>
        </w:tc>
        <w:tc>
          <w:tcPr>
            <w:tcW w:w="1276" w:type="dxa"/>
            <w:tcBorders>
              <w:top w:val="nil"/>
              <w:left w:val="nil"/>
              <w:bottom w:val="nil"/>
              <w:right w:val="nil"/>
            </w:tcBorders>
            <w:vAlign w:val="bottom"/>
            <w:hideMark/>
          </w:tcPr>
          <w:p w:rsidR="00D45122" w:rsidRPr="009549EF" w:rsidRDefault="00D45122" w:rsidP="00D75F90">
            <w:pPr>
              <w:jc w:val="center"/>
              <w:rPr>
                <w:rFonts w:ascii="Times New Roman" w:hAnsi="Times New Roman"/>
                <w:sz w:val="20"/>
                <w:szCs w:val="20"/>
              </w:rPr>
            </w:pPr>
          </w:p>
        </w:tc>
        <w:tc>
          <w:tcPr>
            <w:tcW w:w="1398" w:type="dxa"/>
            <w:tcBorders>
              <w:top w:val="nil"/>
              <w:left w:val="nil"/>
              <w:bottom w:val="nil"/>
              <w:right w:val="nil"/>
            </w:tcBorders>
            <w:vAlign w:val="bottom"/>
            <w:hideMark/>
          </w:tcPr>
          <w:p w:rsidR="00D45122" w:rsidRPr="009549EF" w:rsidRDefault="00D45122" w:rsidP="00D75F90">
            <w:pPr>
              <w:rPr>
                <w:rFonts w:ascii="Times New Roman" w:hAnsi="Times New Roman"/>
                <w:sz w:val="20"/>
                <w:szCs w:val="20"/>
              </w:rPr>
            </w:pPr>
          </w:p>
        </w:tc>
      </w:tr>
    </w:tbl>
    <w:p w:rsidR="0024051E" w:rsidRDefault="0024051E" w:rsidP="007063DF">
      <w:pPr>
        <w:pStyle w:val="Heading3"/>
      </w:pPr>
    </w:p>
    <w:p w:rsidR="0024051E" w:rsidRDefault="0024051E" w:rsidP="007063DF">
      <w:pPr>
        <w:pStyle w:val="Heading3"/>
      </w:pPr>
      <w:r>
        <w:t>The Board</w:t>
      </w:r>
    </w:p>
    <w:p w:rsidR="0024051E" w:rsidRDefault="0024051E" w:rsidP="00CF3E72">
      <w:pPr>
        <w:pStyle w:val="BodyText"/>
      </w:pPr>
      <w:r>
        <w:t>The Commission has a Board of Governance comprising up to seven members appointed by the Governor-in-Council on the recommendation of the Attorney-General. The Board is responsible for setting the organisation’s strategic direction, as well as policies, priorities and strategies. The Board members provide important links to the broader Victorian community, ensuring the Commission’s work remains relevant and responsive to the human rights issues that touch people every day.</w:t>
      </w:r>
    </w:p>
    <w:p w:rsidR="0024051E" w:rsidRDefault="0024051E" w:rsidP="00D45122">
      <w:pPr>
        <w:pStyle w:val="Heading4"/>
      </w:pPr>
      <w:r>
        <w:t>Moana Weir (Chairperson)March 2015-current</w:t>
      </w:r>
    </w:p>
    <w:p w:rsidR="0024051E" w:rsidRDefault="0024051E" w:rsidP="00CF3E72">
      <w:pPr>
        <w:pStyle w:val="BodyText"/>
      </w:pPr>
      <w:r>
        <w:t>Moana Weir is a lawyer by background and Board member, with professional experience as company secretary and general counsel of ASX listed entities such as REA (realestate.com.au) and SEEK, as well as serving on the board for V/Line Corporation (2010 to 2013). Moana has 19 years’ senior management experience, leading such areas as legal, regulatory, corporate affairs and risk management. She has a passion for driving real change and better outcomes in equal opportunity and human rights, including in the areas of diversity and inclusion in the workplace.</w:t>
      </w:r>
    </w:p>
    <w:p w:rsidR="0024051E" w:rsidRDefault="0024051E" w:rsidP="00D45122">
      <w:pPr>
        <w:pStyle w:val="Heading4"/>
      </w:pPr>
      <w:r>
        <w:t>Tim Goodwin</w:t>
      </w:r>
    </w:p>
    <w:p w:rsidR="0024051E" w:rsidRDefault="0024051E" w:rsidP="00CF3E72">
      <w:pPr>
        <w:pStyle w:val="BodyText"/>
      </w:pPr>
      <w:r>
        <w:t>Tim Goodwin is a barrister at the Victorian Bar and practices primarily in commercial and public law. Prior to joining the Bar, Tim worked at Allens as a solicitor for three years in commercial litigation, and in banking and finance.</w:t>
      </w:r>
    </w:p>
    <w:p w:rsidR="0024051E" w:rsidRDefault="0024051E" w:rsidP="00CF3E72">
      <w:pPr>
        <w:pStyle w:val="BodyText"/>
      </w:pPr>
      <w:r>
        <w:lastRenderedPageBreak/>
        <w:t>Tim has a Bachelor of Arts and Laws (with Honours) from the Australian National University and a Master of Laws from Harvard Law School.</w:t>
      </w:r>
    </w:p>
    <w:p w:rsidR="0024051E" w:rsidRDefault="0024051E" w:rsidP="00CF3E72">
      <w:pPr>
        <w:pStyle w:val="BodyText"/>
      </w:pPr>
      <w:r>
        <w:t>Tim is a member of the Yuin people of the South East Coast of New South Wales. He serves on a number of boards, including as a Board Member of the Human Rights Law Centre and a Trustee of the Roberta Sykes Indigenous Education Foundation.</w:t>
      </w:r>
    </w:p>
    <w:p w:rsidR="0024051E" w:rsidRDefault="0024051E" w:rsidP="00D45122">
      <w:pPr>
        <w:pStyle w:val="Heading4"/>
      </w:pPr>
      <w:r>
        <w:t>Jennifer Huppert</w:t>
      </w:r>
    </w:p>
    <w:p w:rsidR="0024051E" w:rsidRDefault="0024051E" w:rsidP="00CF3E72">
      <w:pPr>
        <w:pStyle w:val="BodyText"/>
      </w:pPr>
      <w:r>
        <w:t>Jennifer Huppert is a lawyer with nearly 30 years’ experience, practising largely in the area of commercial property, and is currently a special counsel at KHQ Lawyers.</w:t>
      </w:r>
    </w:p>
    <w:p w:rsidR="0024051E" w:rsidRDefault="0024051E" w:rsidP="00CF3E72">
      <w:pPr>
        <w:pStyle w:val="BodyText"/>
      </w:pPr>
      <w:r>
        <w:t>Jennifer has a long involvement with the community and not-for- profit sector. She is currently president of the Jewish Community Council of Victoria, and has previously served on the Boards of the B’nai B’rith Anti-Defamation Commission, Youth Connect and the National Council of Jewish Women of Australia.</w:t>
      </w:r>
    </w:p>
    <w:p w:rsidR="0024051E" w:rsidRDefault="0024051E" w:rsidP="00CF3E72">
      <w:pPr>
        <w:pStyle w:val="BodyText"/>
      </w:pPr>
      <w:r>
        <w:t>From February 2009 until November 2010 Jennifer was a member of the Legislative Council of the Parliament of Victoria, and prior to that served as a director of the Emergency Services and State Superannuation Board.</w:t>
      </w:r>
    </w:p>
    <w:p w:rsidR="0024051E" w:rsidRDefault="0024051E" w:rsidP="00D45122">
      <w:pPr>
        <w:pStyle w:val="Heading4"/>
      </w:pPr>
      <w:r>
        <w:t>Laurinda Gardner</w:t>
      </w:r>
    </w:p>
    <w:p w:rsidR="0024051E" w:rsidRDefault="0024051E" w:rsidP="00CF3E72">
      <w:pPr>
        <w:pStyle w:val="BodyText"/>
      </w:pPr>
      <w:r>
        <w:t>Laurinda Gardner has more than 20 years’ experience working for not-for-profit, state and local government boards, and as a senior government executive leading large policy and operational teams.</w:t>
      </w:r>
    </w:p>
    <w:p w:rsidR="0024051E" w:rsidRDefault="0024051E" w:rsidP="00CF3E72">
      <w:pPr>
        <w:pStyle w:val="BodyText"/>
      </w:pPr>
      <w:r>
        <w:t>Laurinda is one of three Administrators appointed in April 2016 by the Victorian Government to manage the responsibilities of the City of Greater Geelong Council. She has also consulted for a wide variety of government bodies including the Victorian Ombudsman, Victoria Police and the Victorian Managed Insurance Authority.</w:t>
      </w:r>
    </w:p>
    <w:p w:rsidR="0024051E" w:rsidRDefault="0024051E" w:rsidP="00CF3E72">
      <w:pPr>
        <w:pStyle w:val="BodyText"/>
      </w:pPr>
      <w:r>
        <w:t>Laurinda served as Deputy Secretary for Organisational Reform, Corporate Strategy and Services, and Strategic Management within the Victorian Department of Treasury and Finance between 1998 and 2013. She is a current board member and former chair of Berry Street, a not-for-profit association which helps young people and families recover from the effects of violence, abuse and neglect. </w:t>
      </w:r>
    </w:p>
    <w:p w:rsidR="0024051E" w:rsidRDefault="0024051E" w:rsidP="00D45122">
      <w:pPr>
        <w:pStyle w:val="Heading4"/>
      </w:pPr>
      <w:r>
        <w:t>Faddy Zouky OAM</w:t>
      </w:r>
    </w:p>
    <w:p w:rsidR="0024051E" w:rsidRDefault="0024051E" w:rsidP="00CF3E72">
      <w:pPr>
        <w:pStyle w:val="BodyText"/>
      </w:pPr>
      <w:r>
        <w:t>Faddy Zouky is the founding President of the Australia Lebanon Chamber of Commerce &amp; Industry, a member of the Multicultural Commission of Victoria’s Small Business Ministerial Council, and the current Managing Partner of Zouki Lawyers and the Executive Director of the Zouki Group of companies.</w:t>
      </w:r>
    </w:p>
    <w:p w:rsidR="0024051E" w:rsidRDefault="0024051E" w:rsidP="00CF3E72">
      <w:pPr>
        <w:pStyle w:val="BodyText"/>
      </w:pPr>
      <w:r>
        <w:t>Faddy has a Master of Laws and has taught commercial law as an assistant lecturer at Monash University. He is a respected member of the Australian Lebanese community and has served as a United Nations Australian Ambassador for the UNDP Live Lebanon Project.</w:t>
      </w:r>
    </w:p>
    <w:p w:rsidR="0024051E" w:rsidRDefault="0024051E" w:rsidP="00CF3E72">
      <w:pPr>
        <w:pStyle w:val="BodyText"/>
      </w:pPr>
      <w:r>
        <w:t>As a migration agent, Faddy has assisted hundreds of people seeking to settle in Australia and was awarded the Order of Australia Medal in 2012 for his services to business and Victoria’s multicultural community.</w:t>
      </w:r>
    </w:p>
    <w:p w:rsidR="0024051E" w:rsidRDefault="0024051E" w:rsidP="00D45122">
      <w:pPr>
        <w:pStyle w:val="Heading4"/>
      </w:pPr>
      <w:r>
        <w:lastRenderedPageBreak/>
        <w:t xml:space="preserve">Matt Finnis </w:t>
      </w:r>
    </w:p>
    <w:p w:rsidR="0024051E" w:rsidRDefault="0024051E" w:rsidP="00CF3E72">
      <w:pPr>
        <w:pStyle w:val="BodyText"/>
      </w:pPr>
      <w:r>
        <w:t>Matt Finnis was appointed Chief Executive Officer of the St Kilda Football Club in 2014.</w:t>
      </w:r>
    </w:p>
    <w:p w:rsidR="0024051E" w:rsidRDefault="0024051E" w:rsidP="00CF3E72">
      <w:pPr>
        <w:pStyle w:val="BodyText"/>
      </w:pPr>
      <w:r>
        <w:t>Prior to joining St Kilda, Matt was CEO of the AFL Players’ Association, representing the interests of current, future and former AFL players in a range of industrial, commercial and development matters.</w:t>
      </w:r>
    </w:p>
    <w:p w:rsidR="0024051E" w:rsidRDefault="0024051E" w:rsidP="00CF3E72">
      <w:pPr>
        <w:pStyle w:val="BodyText"/>
      </w:pPr>
      <w:r>
        <w:t>Before his roles in the AFL Matt worked as a commercial lawyer advising sporting organisations, businesses, athletes and government. Matt also has extensive experience on boards supporting community causes and organisations including; Ladder, AFL SportsReady, Surfing Australia, Surf Life Saving Victoria and HeartKids Australia.</w:t>
      </w:r>
    </w:p>
    <w:p w:rsidR="0024051E" w:rsidRDefault="0024051E" w:rsidP="00CF3E72">
      <w:pPr>
        <w:pStyle w:val="BodyText"/>
      </w:pPr>
      <w:r>
        <w:t>Matt has been a founding member of the Sport Male Champions of Change Group since 2015, working with influential leaders to redefine men’s role in taking action on gender inequality. In 2016 he was awarded the Straight Ally of the Year at the GLOBE Community Awards.</w:t>
      </w:r>
    </w:p>
    <w:p w:rsidR="0024051E" w:rsidRDefault="0024051E" w:rsidP="00D45122">
      <w:pPr>
        <w:pStyle w:val="Heading4"/>
      </w:pPr>
      <w:r>
        <w:t>Rebecca Dabbs</w:t>
      </w:r>
    </w:p>
    <w:p w:rsidR="0024051E" w:rsidRDefault="0024051E" w:rsidP="00CF3E72">
      <w:pPr>
        <w:pStyle w:val="BodyText"/>
      </w:pPr>
      <w:r>
        <w:t>Rebecca Dabbs is a Partner at Ernst &amp; Young in the Climate Change and Sustainability Services team, working on sustainability and health, safety and environment engagements. Prior to becoming a partner in 2016, she worked as a Sustainability consultant and a Chartered Accountant for Ernst &amp; Young since 2004. She also worked as a Chartered Accountant for BNP Paribas in London.</w:t>
      </w:r>
    </w:p>
    <w:p w:rsidR="0024051E" w:rsidRDefault="0024051E" w:rsidP="00CF3E72">
      <w:pPr>
        <w:pStyle w:val="BodyText"/>
      </w:pPr>
      <w:r>
        <w:t>Rebecca was a board member of Cambodian Kids Can, a volunteer-staffed charity that supports children’s welfare, education and community projects in Cambodia, from 2014–17. She was a board member and the finance committee chair of the Norman Wettenhall Foundation, an environmental foundation, from 2011–14.</w:t>
      </w:r>
    </w:p>
    <w:p w:rsidR="0024051E" w:rsidRDefault="0024051E" w:rsidP="007063DF">
      <w:pPr>
        <w:pStyle w:val="Heading3"/>
      </w:pPr>
      <w:r>
        <w:t>Audit and Risk Management Committee report</w:t>
      </w:r>
    </w:p>
    <w:p w:rsidR="0024051E" w:rsidRDefault="0024051E" w:rsidP="00CF3E72">
      <w:pPr>
        <w:pStyle w:val="BodyText"/>
      </w:pPr>
      <w:r>
        <w:t xml:space="preserve">The primary role of the Audit and Risk Management Committee is to provide independent oversight and governance of the Commission’s business processes, risk management and financial management, performance and sustainability. The Committee considers reports from the Commission and auditors that provide assurance about the integrity of the financial controls, processes, systems and reporting of the Commission. It also monitors the Commission’s compliance with the </w:t>
      </w:r>
      <w:r w:rsidRPr="00485D7B">
        <w:rPr>
          <w:rStyle w:val="Characteritalic"/>
          <w:lang w:eastAsia="en-US"/>
        </w:rPr>
        <w:t>Financial Management Act 1994</w:t>
      </w:r>
      <w:r>
        <w:t xml:space="preserve"> and the 2016 Standing Directions of the Minister for Finance. The Audit and Risk Management Committee advises the Board and the Commission on matters of compliance, accountability, risk management and internal controls affecting operations. </w:t>
      </w:r>
    </w:p>
    <w:p w:rsidR="0024051E" w:rsidRDefault="0024051E" w:rsidP="00CF3E72">
      <w:pPr>
        <w:pStyle w:val="BodyText"/>
      </w:pPr>
      <w:r>
        <w:t>The 2018–19 Audit and Risk Management Committee consisted of Laurinda Gardiner (Chair), Moana Weir, Jeff Floyd and Sue Madden. External audits of the Commission are undertaken by the Victorian Auditor-General’s Office.</w:t>
      </w:r>
    </w:p>
    <w:p w:rsidR="0024051E" w:rsidRDefault="0024051E" w:rsidP="007063DF">
      <w:pPr>
        <w:pStyle w:val="Heading2"/>
      </w:pPr>
      <w:bookmarkStart w:id="18" w:name="_Toc21701408"/>
      <w:r>
        <w:lastRenderedPageBreak/>
        <w:t>Five year financial performance</w:t>
      </w:r>
      <w:bookmarkEnd w:id="18"/>
    </w:p>
    <w:p w:rsidR="0024051E" w:rsidRDefault="0024051E" w:rsidP="00CF3E72">
      <w:pPr>
        <w:pStyle w:val="BodyText"/>
      </w:pPr>
      <w:r>
        <w:t>The following financial performance tables are not subject to audit by the Victorian Auditor-General’s Office and are not prepared on the same basis as the Commission’s financial statements.</w:t>
      </w:r>
    </w:p>
    <w:p w:rsidR="0024051E" w:rsidRDefault="0024051E" w:rsidP="007063DF">
      <w:pPr>
        <w:pStyle w:val="Heading4"/>
      </w:pPr>
      <w:r>
        <w:t>Five-year financial performance summary</w:t>
      </w: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020" w:firstRow="1" w:lastRow="0" w:firstColumn="0" w:lastColumn="0" w:noHBand="0" w:noVBand="0"/>
      </w:tblPr>
      <w:tblGrid>
        <w:gridCol w:w="3000"/>
        <w:gridCol w:w="1324"/>
        <w:gridCol w:w="1323"/>
        <w:gridCol w:w="1324"/>
        <w:gridCol w:w="1323"/>
        <w:gridCol w:w="1324"/>
      </w:tblGrid>
      <w:tr w:rsidR="009549EF" w:rsidRPr="009549EF" w:rsidTr="009549EF">
        <w:trPr>
          <w:trHeight w:val="311"/>
        </w:trPr>
        <w:tc>
          <w:tcPr>
            <w:tcW w:w="3000" w:type="dxa"/>
            <w:tcBorders>
              <w:top w:val="single" w:sz="4" w:space="0" w:color="000000"/>
              <w:left w:val="single" w:sz="4" w:space="0" w:color="000000"/>
              <w:bottom w:val="single" w:sz="4" w:space="0" w:color="000000"/>
              <w:right w:val="nil"/>
            </w:tcBorders>
            <w:shd w:val="clear" w:color="auto" w:fill="000000"/>
          </w:tcPr>
          <w:p w:rsidR="0024051E" w:rsidRPr="009549EF" w:rsidRDefault="0024051E" w:rsidP="00D45122">
            <w:pPr>
              <w:pStyle w:val="BodyText"/>
              <w:rPr>
                <w:b/>
                <w:bCs/>
                <w:color w:val="FFFFFF"/>
              </w:rPr>
            </w:pPr>
            <w:r w:rsidRPr="009549EF">
              <w:rPr>
                <w:b/>
                <w:bCs/>
                <w:color w:val="FFFFFF"/>
              </w:rPr>
              <w:t>Five year financial summary</w:t>
            </w:r>
          </w:p>
        </w:tc>
        <w:tc>
          <w:tcPr>
            <w:tcW w:w="1324" w:type="dxa"/>
            <w:tcBorders>
              <w:top w:val="single" w:sz="4" w:space="0" w:color="000000"/>
              <w:left w:val="nil"/>
              <w:bottom w:val="single" w:sz="4" w:space="0" w:color="000000"/>
              <w:right w:val="nil"/>
            </w:tcBorders>
            <w:shd w:val="clear" w:color="auto" w:fill="000000"/>
          </w:tcPr>
          <w:p w:rsidR="0024051E" w:rsidRPr="009549EF" w:rsidRDefault="0024051E" w:rsidP="00D45122">
            <w:pPr>
              <w:pStyle w:val="BodyText"/>
              <w:rPr>
                <w:b/>
                <w:bCs/>
                <w:color w:val="FFFFFF"/>
              </w:rPr>
            </w:pPr>
            <w:r w:rsidRPr="009549EF">
              <w:rPr>
                <w:b/>
                <w:bCs/>
                <w:color w:val="FFFFFF"/>
              </w:rPr>
              <w:t>2019</w:t>
            </w:r>
          </w:p>
        </w:tc>
        <w:tc>
          <w:tcPr>
            <w:tcW w:w="1323" w:type="dxa"/>
            <w:tcBorders>
              <w:top w:val="single" w:sz="4" w:space="0" w:color="000000"/>
              <w:left w:val="nil"/>
              <w:bottom w:val="single" w:sz="4" w:space="0" w:color="000000"/>
              <w:right w:val="nil"/>
            </w:tcBorders>
            <w:shd w:val="clear" w:color="auto" w:fill="000000"/>
          </w:tcPr>
          <w:p w:rsidR="0024051E" w:rsidRPr="009549EF" w:rsidRDefault="0024051E" w:rsidP="00D45122">
            <w:pPr>
              <w:pStyle w:val="BodyText"/>
              <w:rPr>
                <w:b/>
                <w:bCs/>
                <w:color w:val="FFFFFF"/>
              </w:rPr>
            </w:pPr>
            <w:r w:rsidRPr="009549EF">
              <w:rPr>
                <w:b/>
                <w:bCs/>
                <w:color w:val="FFFFFF"/>
              </w:rPr>
              <w:t>2018</w:t>
            </w:r>
          </w:p>
        </w:tc>
        <w:tc>
          <w:tcPr>
            <w:tcW w:w="1324" w:type="dxa"/>
            <w:tcBorders>
              <w:top w:val="single" w:sz="4" w:space="0" w:color="000000"/>
              <w:left w:val="nil"/>
              <w:bottom w:val="single" w:sz="4" w:space="0" w:color="000000"/>
              <w:right w:val="nil"/>
            </w:tcBorders>
            <w:shd w:val="clear" w:color="auto" w:fill="000000"/>
          </w:tcPr>
          <w:p w:rsidR="0024051E" w:rsidRPr="009549EF" w:rsidRDefault="0024051E" w:rsidP="00D45122">
            <w:pPr>
              <w:pStyle w:val="BodyText"/>
              <w:rPr>
                <w:b/>
                <w:bCs/>
                <w:color w:val="FFFFFF"/>
              </w:rPr>
            </w:pPr>
            <w:r w:rsidRPr="009549EF">
              <w:rPr>
                <w:b/>
                <w:bCs/>
                <w:color w:val="FFFFFF"/>
              </w:rPr>
              <w:t>2017</w:t>
            </w:r>
          </w:p>
        </w:tc>
        <w:tc>
          <w:tcPr>
            <w:tcW w:w="1323" w:type="dxa"/>
            <w:tcBorders>
              <w:top w:val="single" w:sz="4" w:space="0" w:color="000000"/>
              <w:left w:val="nil"/>
              <w:bottom w:val="single" w:sz="4" w:space="0" w:color="000000"/>
              <w:right w:val="nil"/>
            </w:tcBorders>
            <w:shd w:val="clear" w:color="auto" w:fill="000000"/>
          </w:tcPr>
          <w:p w:rsidR="0024051E" w:rsidRPr="009549EF" w:rsidRDefault="0024051E" w:rsidP="00D45122">
            <w:pPr>
              <w:pStyle w:val="BodyText"/>
              <w:rPr>
                <w:b/>
                <w:bCs/>
                <w:color w:val="FFFFFF"/>
              </w:rPr>
            </w:pPr>
            <w:r w:rsidRPr="009549EF">
              <w:rPr>
                <w:b/>
                <w:bCs/>
                <w:color w:val="FFFFFF"/>
              </w:rPr>
              <w:t>2016</w:t>
            </w:r>
          </w:p>
        </w:tc>
        <w:tc>
          <w:tcPr>
            <w:tcW w:w="1324" w:type="dxa"/>
            <w:tcBorders>
              <w:top w:val="single" w:sz="4" w:space="0" w:color="000000"/>
              <w:left w:val="nil"/>
              <w:bottom w:val="single" w:sz="4" w:space="0" w:color="000000"/>
              <w:right w:val="single" w:sz="4" w:space="0" w:color="000000"/>
            </w:tcBorders>
            <w:shd w:val="clear" w:color="auto" w:fill="000000"/>
          </w:tcPr>
          <w:p w:rsidR="0024051E" w:rsidRPr="009549EF" w:rsidRDefault="0024051E" w:rsidP="00D45122">
            <w:pPr>
              <w:pStyle w:val="BodyText"/>
              <w:rPr>
                <w:b/>
                <w:bCs/>
                <w:color w:val="FFFFFF"/>
              </w:rPr>
            </w:pPr>
            <w:r w:rsidRPr="009549EF">
              <w:rPr>
                <w:b/>
                <w:bCs/>
                <w:color w:val="FFFFFF"/>
              </w:rPr>
              <w:t>2015</w:t>
            </w:r>
          </w:p>
        </w:tc>
      </w:tr>
      <w:tr w:rsidR="009549EF" w:rsidRPr="009549EF" w:rsidTr="00C30441">
        <w:trPr>
          <w:trHeight w:val="311"/>
        </w:trPr>
        <w:tc>
          <w:tcPr>
            <w:tcW w:w="3000" w:type="dxa"/>
            <w:shd w:val="clear" w:color="auto" w:fill="FFFFFF" w:themeFill="background1"/>
          </w:tcPr>
          <w:p w:rsidR="0024051E" w:rsidRPr="009549EF" w:rsidRDefault="0024051E">
            <w:pPr>
              <w:pStyle w:val="HRVTableHeading"/>
            </w:pPr>
            <w:r w:rsidRPr="009549EF">
              <w:t>Income from government</w:t>
            </w:r>
          </w:p>
        </w:tc>
        <w:tc>
          <w:tcPr>
            <w:tcW w:w="1324" w:type="dxa"/>
            <w:shd w:val="clear" w:color="auto" w:fill="FFFFFF" w:themeFill="background1"/>
          </w:tcPr>
          <w:p w:rsidR="0024051E" w:rsidRPr="009549EF" w:rsidRDefault="0024051E" w:rsidP="009549EF">
            <w:pPr>
              <w:pStyle w:val="HRVTableBody"/>
              <w:jc w:val="right"/>
            </w:pPr>
            <w:r w:rsidRPr="009549EF">
              <w:t>9,717,071</w:t>
            </w:r>
          </w:p>
        </w:tc>
        <w:tc>
          <w:tcPr>
            <w:tcW w:w="1323" w:type="dxa"/>
            <w:shd w:val="clear" w:color="auto" w:fill="FFFFFF" w:themeFill="background1"/>
          </w:tcPr>
          <w:p w:rsidR="0024051E" w:rsidRPr="009549EF" w:rsidRDefault="0024051E" w:rsidP="009549EF">
            <w:pPr>
              <w:pStyle w:val="HRVTableBody"/>
              <w:jc w:val="right"/>
            </w:pPr>
            <w:r w:rsidRPr="009549EF">
              <w:t>9,527,853</w:t>
            </w:r>
          </w:p>
        </w:tc>
        <w:tc>
          <w:tcPr>
            <w:tcW w:w="1324" w:type="dxa"/>
            <w:shd w:val="clear" w:color="auto" w:fill="FFFFFF" w:themeFill="background1"/>
          </w:tcPr>
          <w:p w:rsidR="0024051E" w:rsidRPr="009549EF" w:rsidRDefault="0024051E" w:rsidP="009549EF">
            <w:pPr>
              <w:pStyle w:val="HRVTableBody"/>
              <w:jc w:val="right"/>
            </w:pPr>
            <w:r w:rsidRPr="009549EF">
              <w:t>9,201,051</w:t>
            </w:r>
          </w:p>
        </w:tc>
        <w:tc>
          <w:tcPr>
            <w:tcW w:w="1323" w:type="dxa"/>
            <w:shd w:val="clear" w:color="auto" w:fill="FFFFFF" w:themeFill="background1"/>
          </w:tcPr>
          <w:p w:rsidR="0024051E" w:rsidRPr="009549EF" w:rsidRDefault="0024051E" w:rsidP="009549EF">
            <w:pPr>
              <w:pStyle w:val="HRVTableBody"/>
              <w:jc w:val="right"/>
            </w:pPr>
            <w:r w:rsidRPr="009549EF">
              <w:t>8,360,828</w:t>
            </w:r>
          </w:p>
        </w:tc>
        <w:tc>
          <w:tcPr>
            <w:tcW w:w="1324" w:type="dxa"/>
            <w:shd w:val="clear" w:color="auto" w:fill="FFFFFF" w:themeFill="background1"/>
          </w:tcPr>
          <w:p w:rsidR="0024051E" w:rsidRPr="009549EF" w:rsidRDefault="0024051E" w:rsidP="009549EF">
            <w:pPr>
              <w:pStyle w:val="HRVTableBody"/>
              <w:jc w:val="right"/>
            </w:pPr>
            <w:r w:rsidRPr="009549EF">
              <w:t>7,985,054</w:t>
            </w:r>
          </w:p>
        </w:tc>
      </w:tr>
      <w:tr w:rsidR="009549EF" w:rsidRPr="009549EF" w:rsidTr="00C30441">
        <w:trPr>
          <w:trHeight w:val="311"/>
        </w:trPr>
        <w:tc>
          <w:tcPr>
            <w:tcW w:w="3000" w:type="dxa"/>
            <w:shd w:val="clear" w:color="auto" w:fill="FFFFFF" w:themeFill="background1"/>
          </w:tcPr>
          <w:p w:rsidR="0024051E" w:rsidRPr="009549EF" w:rsidRDefault="0024051E">
            <w:pPr>
              <w:pStyle w:val="HRVTableHeading"/>
            </w:pPr>
            <w:r w:rsidRPr="009549EF">
              <w:t>Total income from transactions</w:t>
            </w:r>
          </w:p>
        </w:tc>
        <w:tc>
          <w:tcPr>
            <w:tcW w:w="1324" w:type="dxa"/>
            <w:shd w:val="clear" w:color="auto" w:fill="FFFFFF" w:themeFill="background1"/>
          </w:tcPr>
          <w:p w:rsidR="0024051E" w:rsidRPr="009549EF" w:rsidRDefault="0024051E" w:rsidP="009549EF">
            <w:pPr>
              <w:pStyle w:val="HRVTableBody"/>
              <w:jc w:val="right"/>
            </w:pPr>
            <w:r w:rsidRPr="009549EF">
              <w:t>9,717,071</w:t>
            </w:r>
          </w:p>
        </w:tc>
        <w:tc>
          <w:tcPr>
            <w:tcW w:w="1323" w:type="dxa"/>
            <w:shd w:val="clear" w:color="auto" w:fill="FFFFFF" w:themeFill="background1"/>
          </w:tcPr>
          <w:p w:rsidR="0024051E" w:rsidRPr="009549EF" w:rsidRDefault="0024051E" w:rsidP="009549EF">
            <w:pPr>
              <w:pStyle w:val="HRVTableBody"/>
              <w:jc w:val="right"/>
            </w:pPr>
            <w:r w:rsidRPr="009549EF">
              <w:t>9,527,853</w:t>
            </w:r>
          </w:p>
        </w:tc>
        <w:tc>
          <w:tcPr>
            <w:tcW w:w="1324" w:type="dxa"/>
            <w:shd w:val="clear" w:color="auto" w:fill="FFFFFF" w:themeFill="background1"/>
          </w:tcPr>
          <w:p w:rsidR="0024051E" w:rsidRPr="009549EF" w:rsidRDefault="0024051E" w:rsidP="009549EF">
            <w:pPr>
              <w:pStyle w:val="HRVTableBody"/>
              <w:jc w:val="right"/>
            </w:pPr>
            <w:r w:rsidRPr="009549EF">
              <w:t>9,201,051</w:t>
            </w:r>
          </w:p>
        </w:tc>
        <w:tc>
          <w:tcPr>
            <w:tcW w:w="1323" w:type="dxa"/>
            <w:shd w:val="clear" w:color="auto" w:fill="FFFFFF" w:themeFill="background1"/>
          </w:tcPr>
          <w:p w:rsidR="0024051E" w:rsidRPr="009549EF" w:rsidRDefault="0024051E" w:rsidP="009549EF">
            <w:pPr>
              <w:pStyle w:val="HRVTableBody"/>
              <w:jc w:val="right"/>
            </w:pPr>
            <w:r w:rsidRPr="009549EF">
              <w:t>9,221,073</w:t>
            </w:r>
          </w:p>
        </w:tc>
        <w:tc>
          <w:tcPr>
            <w:tcW w:w="1324" w:type="dxa"/>
            <w:shd w:val="clear" w:color="auto" w:fill="FFFFFF" w:themeFill="background1"/>
          </w:tcPr>
          <w:p w:rsidR="0024051E" w:rsidRPr="009549EF" w:rsidRDefault="0024051E" w:rsidP="009549EF">
            <w:pPr>
              <w:pStyle w:val="HRVTableBody"/>
              <w:jc w:val="right"/>
            </w:pPr>
            <w:r w:rsidRPr="009549EF">
              <w:t>8,489,476</w:t>
            </w:r>
          </w:p>
        </w:tc>
      </w:tr>
      <w:tr w:rsidR="009549EF" w:rsidRPr="009549EF" w:rsidTr="00C30441">
        <w:trPr>
          <w:trHeight w:val="311"/>
        </w:trPr>
        <w:tc>
          <w:tcPr>
            <w:tcW w:w="3000" w:type="dxa"/>
            <w:shd w:val="clear" w:color="auto" w:fill="FFFFFF" w:themeFill="background1"/>
          </w:tcPr>
          <w:p w:rsidR="0024051E" w:rsidRPr="009549EF" w:rsidRDefault="0024051E">
            <w:pPr>
              <w:pStyle w:val="HRVTableHeading"/>
            </w:pPr>
            <w:r w:rsidRPr="009549EF">
              <w:t>Total expenses from transactions</w:t>
            </w:r>
          </w:p>
        </w:tc>
        <w:tc>
          <w:tcPr>
            <w:tcW w:w="1324" w:type="dxa"/>
            <w:shd w:val="clear" w:color="auto" w:fill="FFFFFF" w:themeFill="background1"/>
          </w:tcPr>
          <w:p w:rsidR="0024051E" w:rsidRPr="009549EF" w:rsidRDefault="0024051E" w:rsidP="009549EF">
            <w:pPr>
              <w:pStyle w:val="HRVTableBody"/>
              <w:jc w:val="right"/>
            </w:pPr>
            <w:r w:rsidRPr="009549EF">
              <w:t>9,719,831</w:t>
            </w:r>
          </w:p>
        </w:tc>
        <w:tc>
          <w:tcPr>
            <w:tcW w:w="1323" w:type="dxa"/>
            <w:shd w:val="clear" w:color="auto" w:fill="FFFFFF" w:themeFill="background1"/>
          </w:tcPr>
          <w:p w:rsidR="0024051E" w:rsidRPr="009549EF" w:rsidRDefault="0024051E" w:rsidP="009549EF">
            <w:pPr>
              <w:pStyle w:val="HRVTableBody"/>
              <w:jc w:val="right"/>
            </w:pPr>
            <w:r w:rsidRPr="009549EF">
              <w:t>9,495,431</w:t>
            </w:r>
          </w:p>
        </w:tc>
        <w:tc>
          <w:tcPr>
            <w:tcW w:w="1324" w:type="dxa"/>
            <w:shd w:val="clear" w:color="auto" w:fill="FFFFFF" w:themeFill="background1"/>
          </w:tcPr>
          <w:p w:rsidR="0024051E" w:rsidRPr="009549EF" w:rsidRDefault="0024051E" w:rsidP="009549EF">
            <w:pPr>
              <w:pStyle w:val="HRVTableBody"/>
              <w:jc w:val="right"/>
            </w:pPr>
            <w:r w:rsidRPr="009549EF">
              <w:t>9,176,646</w:t>
            </w:r>
          </w:p>
        </w:tc>
        <w:tc>
          <w:tcPr>
            <w:tcW w:w="1323" w:type="dxa"/>
            <w:shd w:val="clear" w:color="auto" w:fill="FFFFFF" w:themeFill="background1"/>
          </w:tcPr>
          <w:p w:rsidR="0024051E" w:rsidRPr="009549EF" w:rsidRDefault="0024051E" w:rsidP="009549EF">
            <w:pPr>
              <w:pStyle w:val="HRVTableBody"/>
              <w:jc w:val="right"/>
            </w:pPr>
            <w:r w:rsidRPr="009549EF">
              <w:t>9,432,264</w:t>
            </w:r>
          </w:p>
        </w:tc>
        <w:tc>
          <w:tcPr>
            <w:tcW w:w="1324" w:type="dxa"/>
            <w:shd w:val="clear" w:color="auto" w:fill="FFFFFF" w:themeFill="background1"/>
          </w:tcPr>
          <w:p w:rsidR="0024051E" w:rsidRPr="009549EF" w:rsidRDefault="0024051E" w:rsidP="009549EF">
            <w:pPr>
              <w:pStyle w:val="HRVTableBody"/>
              <w:jc w:val="right"/>
            </w:pPr>
            <w:r w:rsidRPr="009549EF">
              <w:t>9,086,616</w:t>
            </w:r>
          </w:p>
        </w:tc>
      </w:tr>
      <w:tr w:rsidR="009549EF" w:rsidRPr="009549EF" w:rsidTr="00C30441">
        <w:trPr>
          <w:trHeight w:val="311"/>
        </w:trPr>
        <w:tc>
          <w:tcPr>
            <w:tcW w:w="3000" w:type="dxa"/>
            <w:shd w:val="clear" w:color="auto" w:fill="FFFFFF" w:themeFill="background1"/>
          </w:tcPr>
          <w:p w:rsidR="0024051E" w:rsidRPr="009549EF" w:rsidRDefault="0024051E">
            <w:pPr>
              <w:pStyle w:val="HRVTableHeading"/>
            </w:pPr>
            <w:r w:rsidRPr="009549EF">
              <w:t xml:space="preserve">Net result from transactions </w:t>
            </w:r>
          </w:p>
        </w:tc>
        <w:tc>
          <w:tcPr>
            <w:tcW w:w="1324" w:type="dxa"/>
            <w:shd w:val="clear" w:color="auto" w:fill="FFFFFF" w:themeFill="background1"/>
          </w:tcPr>
          <w:p w:rsidR="0024051E" w:rsidRPr="009549EF" w:rsidRDefault="0024051E" w:rsidP="009549EF">
            <w:pPr>
              <w:pStyle w:val="HRVTableBody"/>
              <w:jc w:val="right"/>
            </w:pPr>
            <w:r w:rsidRPr="009549EF">
              <w:t>(2,760)</w:t>
            </w:r>
          </w:p>
        </w:tc>
        <w:tc>
          <w:tcPr>
            <w:tcW w:w="1323" w:type="dxa"/>
            <w:shd w:val="clear" w:color="auto" w:fill="FFFFFF" w:themeFill="background1"/>
          </w:tcPr>
          <w:p w:rsidR="0024051E" w:rsidRPr="009549EF" w:rsidRDefault="0024051E" w:rsidP="009549EF">
            <w:pPr>
              <w:pStyle w:val="HRVTableBody"/>
              <w:jc w:val="right"/>
            </w:pPr>
            <w:r w:rsidRPr="009549EF">
              <w:t>32,422</w:t>
            </w:r>
          </w:p>
        </w:tc>
        <w:tc>
          <w:tcPr>
            <w:tcW w:w="1324" w:type="dxa"/>
            <w:shd w:val="clear" w:color="auto" w:fill="FFFFFF" w:themeFill="background1"/>
          </w:tcPr>
          <w:p w:rsidR="0024051E" w:rsidRPr="009549EF" w:rsidRDefault="0024051E" w:rsidP="009549EF">
            <w:pPr>
              <w:pStyle w:val="HRVTableBody"/>
              <w:jc w:val="right"/>
            </w:pPr>
            <w:r w:rsidRPr="009549EF">
              <w:t>24,405</w:t>
            </w:r>
          </w:p>
        </w:tc>
        <w:tc>
          <w:tcPr>
            <w:tcW w:w="1323" w:type="dxa"/>
            <w:shd w:val="clear" w:color="auto" w:fill="FFFFFF" w:themeFill="background1"/>
          </w:tcPr>
          <w:p w:rsidR="0024051E" w:rsidRPr="009549EF" w:rsidRDefault="0024051E" w:rsidP="009549EF">
            <w:pPr>
              <w:pStyle w:val="HRVTableBody"/>
              <w:jc w:val="right"/>
            </w:pPr>
            <w:r w:rsidRPr="009549EF">
              <w:t>-211,191</w:t>
            </w:r>
          </w:p>
        </w:tc>
        <w:tc>
          <w:tcPr>
            <w:tcW w:w="1324" w:type="dxa"/>
            <w:shd w:val="clear" w:color="auto" w:fill="FFFFFF" w:themeFill="background1"/>
          </w:tcPr>
          <w:p w:rsidR="0024051E" w:rsidRPr="009549EF" w:rsidRDefault="0024051E" w:rsidP="009549EF">
            <w:pPr>
              <w:pStyle w:val="HRVTableBody"/>
              <w:jc w:val="right"/>
            </w:pPr>
            <w:r w:rsidRPr="009549EF">
              <w:t>-597,140</w:t>
            </w:r>
          </w:p>
        </w:tc>
      </w:tr>
      <w:tr w:rsidR="009549EF" w:rsidRPr="009549EF" w:rsidTr="00C30441">
        <w:trPr>
          <w:trHeight w:val="311"/>
        </w:trPr>
        <w:tc>
          <w:tcPr>
            <w:tcW w:w="3000" w:type="dxa"/>
            <w:shd w:val="clear" w:color="auto" w:fill="FFFFFF" w:themeFill="background1"/>
          </w:tcPr>
          <w:p w:rsidR="0024051E" w:rsidRPr="009549EF" w:rsidRDefault="0024051E">
            <w:pPr>
              <w:pStyle w:val="HRVTableHeading"/>
            </w:pPr>
            <w:r w:rsidRPr="009549EF">
              <w:t>Net result for the period</w:t>
            </w:r>
          </w:p>
        </w:tc>
        <w:tc>
          <w:tcPr>
            <w:tcW w:w="1324" w:type="dxa"/>
            <w:shd w:val="clear" w:color="auto" w:fill="FFFFFF" w:themeFill="background1"/>
          </w:tcPr>
          <w:p w:rsidR="0024051E" w:rsidRPr="009549EF" w:rsidRDefault="0024051E" w:rsidP="009549EF">
            <w:pPr>
              <w:pStyle w:val="HRVTableBody"/>
              <w:jc w:val="right"/>
            </w:pPr>
            <w:r w:rsidRPr="009549EF">
              <w:t>(69,474)</w:t>
            </w:r>
          </w:p>
        </w:tc>
        <w:tc>
          <w:tcPr>
            <w:tcW w:w="1323" w:type="dxa"/>
            <w:shd w:val="clear" w:color="auto" w:fill="FFFFFF" w:themeFill="background1"/>
          </w:tcPr>
          <w:p w:rsidR="0024051E" w:rsidRPr="009549EF" w:rsidRDefault="0024051E" w:rsidP="009549EF">
            <w:pPr>
              <w:pStyle w:val="HRVTableBody"/>
              <w:jc w:val="right"/>
            </w:pPr>
            <w:r w:rsidRPr="009549EF">
              <w:t>46,792</w:t>
            </w:r>
          </w:p>
        </w:tc>
        <w:tc>
          <w:tcPr>
            <w:tcW w:w="1324" w:type="dxa"/>
            <w:shd w:val="clear" w:color="auto" w:fill="FFFFFF" w:themeFill="background1"/>
          </w:tcPr>
          <w:p w:rsidR="0024051E" w:rsidRPr="009549EF" w:rsidRDefault="0024051E" w:rsidP="009549EF">
            <w:pPr>
              <w:pStyle w:val="HRVTableBody"/>
              <w:jc w:val="right"/>
            </w:pPr>
            <w:r w:rsidRPr="009549EF">
              <w:t>13,380</w:t>
            </w:r>
          </w:p>
        </w:tc>
        <w:tc>
          <w:tcPr>
            <w:tcW w:w="1323" w:type="dxa"/>
            <w:shd w:val="clear" w:color="auto" w:fill="FFFFFF" w:themeFill="background1"/>
          </w:tcPr>
          <w:p w:rsidR="0024051E" w:rsidRPr="009549EF" w:rsidRDefault="0024051E" w:rsidP="009549EF">
            <w:pPr>
              <w:pStyle w:val="HRVTableBody"/>
              <w:jc w:val="right"/>
            </w:pPr>
            <w:r w:rsidRPr="009549EF">
              <w:t>-226,232</w:t>
            </w:r>
          </w:p>
        </w:tc>
        <w:tc>
          <w:tcPr>
            <w:tcW w:w="1324" w:type="dxa"/>
            <w:shd w:val="clear" w:color="auto" w:fill="FFFFFF" w:themeFill="background1"/>
          </w:tcPr>
          <w:p w:rsidR="0024051E" w:rsidRPr="009549EF" w:rsidRDefault="0024051E" w:rsidP="009549EF">
            <w:pPr>
              <w:pStyle w:val="HRVTableBody"/>
              <w:jc w:val="right"/>
            </w:pPr>
            <w:r w:rsidRPr="009549EF">
              <w:t>-630,589</w:t>
            </w:r>
          </w:p>
        </w:tc>
      </w:tr>
      <w:tr w:rsidR="009549EF" w:rsidRPr="009549EF" w:rsidTr="00C30441">
        <w:trPr>
          <w:trHeight w:val="311"/>
        </w:trPr>
        <w:tc>
          <w:tcPr>
            <w:tcW w:w="3000" w:type="dxa"/>
            <w:shd w:val="clear" w:color="auto" w:fill="FFFFFF" w:themeFill="background1"/>
          </w:tcPr>
          <w:p w:rsidR="0024051E" w:rsidRPr="009549EF" w:rsidRDefault="0024051E">
            <w:pPr>
              <w:pStyle w:val="HRVTableHeading"/>
            </w:pPr>
            <w:r w:rsidRPr="009549EF">
              <w:t>Net cash flow from operating activities</w:t>
            </w:r>
          </w:p>
        </w:tc>
        <w:tc>
          <w:tcPr>
            <w:tcW w:w="1324" w:type="dxa"/>
            <w:shd w:val="clear" w:color="auto" w:fill="FFFFFF" w:themeFill="background1"/>
          </w:tcPr>
          <w:p w:rsidR="0024051E" w:rsidRPr="009549EF" w:rsidRDefault="0024051E" w:rsidP="009549EF">
            <w:pPr>
              <w:pStyle w:val="HRVTableBody"/>
              <w:jc w:val="right"/>
            </w:pPr>
            <w:r w:rsidRPr="009549EF">
              <w:t>64,268</w:t>
            </w:r>
          </w:p>
        </w:tc>
        <w:tc>
          <w:tcPr>
            <w:tcW w:w="1323" w:type="dxa"/>
            <w:shd w:val="clear" w:color="auto" w:fill="FFFFFF" w:themeFill="background1"/>
          </w:tcPr>
          <w:p w:rsidR="0024051E" w:rsidRPr="009549EF" w:rsidRDefault="0024051E" w:rsidP="009549EF">
            <w:pPr>
              <w:pStyle w:val="HRVTableBody"/>
              <w:jc w:val="right"/>
            </w:pPr>
            <w:r w:rsidRPr="009549EF">
              <w:t>119,167</w:t>
            </w:r>
          </w:p>
        </w:tc>
        <w:tc>
          <w:tcPr>
            <w:tcW w:w="1324" w:type="dxa"/>
            <w:shd w:val="clear" w:color="auto" w:fill="FFFFFF" w:themeFill="background1"/>
          </w:tcPr>
          <w:p w:rsidR="0024051E" w:rsidRPr="009549EF" w:rsidRDefault="0024051E" w:rsidP="009549EF">
            <w:pPr>
              <w:pStyle w:val="HRVTableBody"/>
              <w:jc w:val="right"/>
            </w:pPr>
            <w:r w:rsidRPr="009549EF">
              <w:t>-202,863</w:t>
            </w:r>
          </w:p>
        </w:tc>
        <w:tc>
          <w:tcPr>
            <w:tcW w:w="1323" w:type="dxa"/>
            <w:shd w:val="clear" w:color="auto" w:fill="FFFFFF" w:themeFill="background1"/>
          </w:tcPr>
          <w:p w:rsidR="0024051E" w:rsidRPr="009549EF" w:rsidRDefault="0024051E" w:rsidP="009549EF">
            <w:pPr>
              <w:pStyle w:val="HRVTableBody"/>
              <w:jc w:val="right"/>
            </w:pPr>
            <w:r w:rsidRPr="009549EF">
              <w:t>-273,538</w:t>
            </w:r>
          </w:p>
        </w:tc>
        <w:tc>
          <w:tcPr>
            <w:tcW w:w="1324" w:type="dxa"/>
            <w:shd w:val="clear" w:color="auto" w:fill="FFFFFF" w:themeFill="background1"/>
          </w:tcPr>
          <w:p w:rsidR="0024051E" w:rsidRPr="009549EF" w:rsidRDefault="0024051E" w:rsidP="009549EF">
            <w:pPr>
              <w:pStyle w:val="HRVTableBody"/>
              <w:jc w:val="right"/>
            </w:pPr>
            <w:r w:rsidRPr="009549EF">
              <w:t>-26,070</w:t>
            </w:r>
          </w:p>
        </w:tc>
      </w:tr>
      <w:tr w:rsidR="009549EF" w:rsidRPr="009549EF" w:rsidTr="00C30441">
        <w:trPr>
          <w:trHeight w:val="311"/>
        </w:trPr>
        <w:tc>
          <w:tcPr>
            <w:tcW w:w="3000" w:type="dxa"/>
            <w:shd w:val="clear" w:color="auto" w:fill="FFFFFF" w:themeFill="background1"/>
          </w:tcPr>
          <w:p w:rsidR="0024051E" w:rsidRPr="009549EF" w:rsidRDefault="0024051E">
            <w:pPr>
              <w:pStyle w:val="HRVTableHeading"/>
            </w:pPr>
            <w:r w:rsidRPr="009549EF">
              <w:t>Total assets</w:t>
            </w:r>
          </w:p>
        </w:tc>
        <w:tc>
          <w:tcPr>
            <w:tcW w:w="1324" w:type="dxa"/>
            <w:shd w:val="clear" w:color="auto" w:fill="FFFFFF" w:themeFill="background1"/>
          </w:tcPr>
          <w:p w:rsidR="0024051E" w:rsidRPr="009549EF" w:rsidRDefault="0024051E" w:rsidP="009549EF">
            <w:pPr>
              <w:pStyle w:val="HRVTableBody"/>
              <w:jc w:val="right"/>
            </w:pPr>
            <w:r w:rsidRPr="009549EF">
              <w:t>3,138,265</w:t>
            </w:r>
          </w:p>
        </w:tc>
        <w:tc>
          <w:tcPr>
            <w:tcW w:w="1323" w:type="dxa"/>
            <w:shd w:val="clear" w:color="auto" w:fill="FFFFFF" w:themeFill="background1"/>
          </w:tcPr>
          <w:p w:rsidR="0024051E" w:rsidRPr="009549EF" w:rsidRDefault="0024051E" w:rsidP="009549EF">
            <w:pPr>
              <w:pStyle w:val="HRVTableBody"/>
              <w:jc w:val="right"/>
            </w:pPr>
            <w:r w:rsidRPr="009549EF">
              <w:t>3,427,466</w:t>
            </w:r>
          </w:p>
        </w:tc>
        <w:tc>
          <w:tcPr>
            <w:tcW w:w="1324" w:type="dxa"/>
            <w:shd w:val="clear" w:color="auto" w:fill="FFFFFF" w:themeFill="background1"/>
          </w:tcPr>
          <w:p w:rsidR="0024051E" w:rsidRPr="009549EF" w:rsidRDefault="0024051E" w:rsidP="009549EF">
            <w:pPr>
              <w:pStyle w:val="HRVTableBody"/>
              <w:jc w:val="right"/>
            </w:pPr>
            <w:r w:rsidRPr="009549EF">
              <w:t>3,166,137</w:t>
            </w:r>
          </w:p>
        </w:tc>
        <w:tc>
          <w:tcPr>
            <w:tcW w:w="1323" w:type="dxa"/>
            <w:shd w:val="clear" w:color="auto" w:fill="FFFFFF" w:themeFill="background1"/>
          </w:tcPr>
          <w:p w:rsidR="0024051E" w:rsidRPr="009549EF" w:rsidRDefault="0024051E" w:rsidP="009549EF">
            <w:pPr>
              <w:pStyle w:val="HRVTableBody"/>
              <w:jc w:val="right"/>
            </w:pPr>
            <w:r w:rsidRPr="009549EF">
              <w:t>3,135,810</w:t>
            </w:r>
          </w:p>
        </w:tc>
        <w:tc>
          <w:tcPr>
            <w:tcW w:w="1324" w:type="dxa"/>
            <w:shd w:val="clear" w:color="auto" w:fill="FFFFFF" w:themeFill="background1"/>
          </w:tcPr>
          <w:p w:rsidR="0024051E" w:rsidRPr="009549EF" w:rsidRDefault="0024051E" w:rsidP="009549EF">
            <w:pPr>
              <w:pStyle w:val="HRVTableBody"/>
              <w:jc w:val="right"/>
            </w:pPr>
            <w:r w:rsidRPr="009549EF">
              <w:t>3,263,880</w:t>
            </w:r>
          </w:p>
        </w:tc>
      </w:tr>
      <w:tr w:rsidR="009549EF" w:rsidRPr="009549EF" w:rsidTr="00C30441">
        <w:trPr>
          <w:trHeight w:val="311"/>
        </w:trPr>
        <w:tc>
          <w:tcPr>
            <w:tcW w:w="3000" w:type="dxa"/>
            <w:shd w:val="clear" w:color="auto" w:fill="FFFFFF" w:themeFill="background1"/>
          </w:tcPr>
          <w:p w:rsidR="0024051E" w:rsidRPr="009549EF" w:rsidRDefault="0024051E">
            <w:pPr>
              <w:pStyle w:val="HRVTableHeading"/>
            </w:pPr>
            <w:r w:rsidRPr="009549EF">
              <w:t>Total liabilities</w:t>
            </w:r>
          </w:p>
        </w:tc>
        <w:tc>
          <w:tcPr>
            <w:tcW w:w="1324" w:type="dxa"/>
            <w:shd w:val="clear" w:color="auto" w:fill="FFFFFF" w:themeFill="background1"/>
          </w:tcPr>
          <w:p w:rsidR="0024051E" w:rsidRPr="009549EF" w:rsidRDefault="0024051E" w:rsidP="009549EF">
            <w:pPr>
              <w:pStyle w:val="HRVTableBody"/>
              <w:jc w:val="right"/>
            </w:pPr>
            <w:r w:rsidRPr="009549EF">
              <w:t>1,682,591</w:t>
            </w:r>
          </w:p>
        </w:tc>
        <w:tc>
          <w:tcPr>
            <w:tcW w:w="1323" w:type="dxa"/>
            <w:shd w:val="clear" w:color="auto" w:fill="FFFFFF" w:themeFill="background1"/>
          </w:tcPr>
          <w:p w:rsidR="0024051E" w:rsidRPr="009549EF" w:rsidRDefault="0024051E" w:rsidP="009549EF">
            <w:pPr>
              <w:pStyle w:val="HRVTableBody"/>
              <w:jc w:val="right"/>
            </w:pPr>
            <w:r w:rsidRPr="009549EF">
              <w:t>1,902,318</w:t>
            </w:r>
          </w:p>
        </w:tc>
        <w:tc>
          <w:tcPr>
            <w:tcW w:w="1324" w:type="dxa"/>
            <w:shd w:val="clear" w:color="auto" w:fill="FFFFFF" w:themeFill="background1"/>
          </w:tcPr>
          <w:p w:rsidR="0024051E" w:rsidRPr="009549EF" w:rsidRDefault="0024051E" w:rsidP="009549EF">
            <w:pPr>
              <w:pStyle w:val="HRVTableBody"/>
              <w:jc w:val="right"/>
            </w:pPr>
            <w:r w:rsidRPr="009549EF">
              <w:t>1,687,782</w:t>
            </w:r>
          </w:p>
        </w:tc>
        <w:tc>
          <w:tcPr>
            <w:tcW w:w="1323" w:type="dxa"/>
            <w:shd w:val="clear" w:color="auto" w:fill="FFFFFF" w:themeFill="background1"/>
          </w:tcPr>
          <w:p w:rsidR="0024051E" w:rsidRPr="009549EF" w:rsidRDefault="0024051E" w:rsidP="009549EF">
            <w:pPr>
              <w:pStyle w:val="HRVTableBody"/>
              <w:jc w:val="right"/>
            </w:pPr>
            <w:r w:rsidRPr="009549EF">
              <w:t>1,670,835</w:t>
            </w:r>
          </w:p>
        </w:tc>
        <w:tc>
          <w:tcPr>
            <w:tcW w:w="1324" w:type="dxa"/>
            <w:shd w:val="clear" w:color="auto" w:fill="FFFFFF" w:themeFill="background1"/>
          </w:tcPr>
          <w:p w:rsidR="0024051E" w:rsidRPr="009549EF" w:rsidRDefault="0024051E" w:rsidP="009549EF">
            <w:pPr>
              <w:pStyle w:val="HRVTableBody"/>
              <w:jc w:val="right"/>
            </w:pPr>
            <w:r w:rsidRPr="009549EF">
              <w:t>1,572,672</w:t>
            </w:r>
          </w:p>
        </w:tc>
      </w:tr>
    </w:tbl>
    <w:p w:rsidR="0024051E" w:rsidRDefault="0024051E" w:rsidP="007063DF">
      <w:pPr>
        <w:pStyle w:val="Heading3"/>
      </w:pPr>
      <w:r>
        <w:t>Current year financial review</w:t>
      </w:r>
    </w:p>
    <w:p w:rsidR="0024051E" w:rsidRDefault="0024051E" w:rsidP="00CF3E72">
      <w:pPr>
        <w:pStyle w:val="BodyText"/>
      </w:pPr>
      <w:r>
        <w:t>A summary of the Victorian Equal Opportunity and Human Rights Commission’s financial performance in 2018–19 is shown below. Full financial details for 2018–19 are outlined in the Financial Statements.</w:t>
      </w:r>
      <w:r>
        <w:tab/>
        <w:t xml:space="preserve"> </w:t>
      </w:r>
    </w:p>
    <w:p w:rsidR="0024051E" w:rsidRDefault="0024051E" w:rsidP="00CF3E72">
      <w:pPr>
        <w:pStyle w:val="BodyText"/>
      </w:pPr>
      <w:r>
        <w:t>The Victorian Government considers the net result from transactions to be the appropriate measure of financial management that can be directly attributed to government policy. This measure excludes the effects of revaluations (holding gains or loses) arising from changes in market prices and other changes in the volume of assets shown under ‘other economic flows’ on the comprehensive operating statement, which are outside the control of the Commission.</w:t>
      </w:r>
    </w:p>
    <w:p w:rsidR="0024051E" w:rsidRDefault="0024051E" w:rsidP="00CF3E72">
      <w:pPr>
        <w:pStyle w:val="BodyText"/>
      </w:pPr>
      <w:r>
        <w:t>In 2018–19 the Commission reported a minor deficit in the net result from transactions of $2760. Both total income and total expenses have increased from the previous year predominantly because of the review work and new projects undertaken by the Commission. The Commission continues to generate additional revenue from its education and training function.</w:t>
      </w:r>
    </w:p>
    <w:p w:rsidR="0024051E" w:rsidRDefault="0024051E" w:rsidP="00CF3E72">
      <w:pPr>
        <w:pStyle w:val="BodyText"/>
      </w:pPr>
      <w:r>
        <w:t>The overall net result of $69,474, which is a significant reduction from the previous year, is not the result of transactions but is due to a loss from the revaluation of the present value of the long service leave liability caused by changes in the bond interest rates which is outside the Commission’s control.</w:t>
      </w:r>
    </w:p>
    <w:p w:rsidR="0024051E" w:rsidRDefault="0024051E" w:rsidP="00CF3E72">
      <w:pPr>
        <w:pStyle w:val="BodyText"/>
      </w:pPr>
      <w:r>
        <w:lastRenderedPageBreak/>
        <w:t>Total net assets has declined from the previous year due to a reduction in the Commission’s total asset base, even though there has been a reduction in total liabilities.</w:t>
      </w:r>
    </w:p>
    <w:p w:rsidR="0024051E" w:rsidRDefault="0024051E" w:rsidP="00CF3E72">
      <w:pPr>
        <w:pStyle w:val="BodyText"/>
      </w:pPr>
      <w:r>
        <w:t>Net cash inflows from operating activities have decreased as compared to last year, partly as a result of changes in provisions for employee entitlements, accruals and receivables. There was also a receipt of $100,000 in 2018–19 from the Department of Premier and Cabinet to continue work on the Government’s Anti-Racism Action Plan. The Commission also received $321,250 from the Victorian Secretaries Board to continue an education program on building a culture of human rights in the Victorian Public Service.</w:t>
      </w:r>
    </w:p>
    <w:p w:rsidR="0024051E" w:rsidRDefault="0024051E" w:rsidP="00CF3E72">
      <w:pPr>
        <w:pStyle w:val="BodyText"/>
      </w:pPr>
      <w:r>
        <w:t>Financial Performance</w:t>
      </w:r>
    </w:p>
    <w:p w:rsidR="0024051E" w:rsidRDefault="0024051E" w:rsidP="00CF3E72">
      <w:pPr>
        <w:pStyle w:val="BodyText"/>
      </w:pPr>
      <w:r>
        <w:t>Income from Government has increased significantly since 2015–16. This is due to funding for the Independent review into sex discrimination and sexual harassment, including predatory behaviour in Victoria Police, and the Equity and Diversity review of Victoria’s Country Fire Authority and Metropolitan Fire Brigade. In 2016–17 the Commission also engaged in an education program on the Charter of Human Rights in the Victorian Public Service which has continued into 2018–19. There has been a corresponding increase in expenditure during this period</w:t>
      </w:r>
    </w:p>
    <w:p w:rsidR="0024051E" w:rsidRDefault="0024051E" w:rsidP="00CF3E72">
      <w:pPr>
        <w:pStyle w:val="BodyText"/>
      </w:pPr>
      <w:r>
        <w:t>Financial position – balance sheet</w:t>
      </w:r>
    </w:p>
    <w:p w:rsidR="0024051E" w:rsidRDefault="0024051E" w:rsidP="00CF3E72">
      <w:pPr>
        <w:pStyle w:val="BodyText"/>
      </w:pPr>
      <w:r>
        <w:t>Total assets decreased by $289,201 over the year mainly due to a decrease of $231,463 and $57,738 in financial and non-financial assets respectively. The decrease in financial assets is due to a decrease in receivables offset to some extent by an increase in cash. The cash increase is mainly due to the receipt of $100,000 from the Victorian Multicultural Commission (Multicultural Affairs and Social Cohesion division) under the Department of Premier and Cabinet for the Government’s Anti-Racism Action Plan and the Commission’s Reducing Racism strategic priority. A further $321,250 was received from the Victorian Secretaries Board for human rights education in the Victorian Public Service. The decrease in receivables are of a statutory nature and represent funding for all commitments incurred and are drawn from the Consolidated Fund as the commitments fall due.</w:t>
      </w:r>
    </w:p>
    <w:p w:rsidR="0024051E" w:rsidRDefault="0024051E" w:rsidP="00CF3E72">
      <w:pPr>
        <w:pStyle w:val="BodyText"/>
      </w:pPr>
      <w:r>
        <w:t>Total non-financial assets decreased due to the decrease in the net book value of intangible assets.</w:t>
      </w:r>
    </w:p>
    <w:p w:rsidR="0024051E" w:rsidRDefault="0024051E" w:rsidP="00CF3E72">
      <w:pPr>
        <w:pStyle w:val="BodyText"/>
      </w:pPr>
      <w:r>
        <w:t>Total liabilities decreased mainly due to decreased payables resulting from creditors and accrued expenses and decreased employee related provisions.</w:t>
      </w:r>
    </w:p>
    <w:p w:rsidR="0024051E" w:rsidRDefault="0024051E" w:rsidP="00CF3E72">
      <w:pPr>
        <w:pStyle w:val="BodyText"/>
      </w:pPr>
      <w:r>
        <w:t>Cash flows</w:t>
      </w:r>
    </w:p>
    <w:p w:rsidR="0024051E" w:rsidRDefault="0024051E" w:rsidP="00CF3E72">
      <w:pPr>
        <w:pStyle w:val="BodyText"/>
      </w:pPr>
      <w:r>
        <w:t>The total cash surplus of $383,401 for the 2018–19 financial year is the result of a net cash inflow of $64,268 for operating activities driven by increased cash funding from Government. The net cash outflow from investing activities is $5344 due to enhancements to intangible assets.</w:t>
      </w:r>
    </w:p>
    <w:p w:rsidR="0024051E" w:rsidRDefault="0024051E" w:rsidP="00CF3E72">
      <w:pPr>
        <w:pStyle w:val="BodyText"/>
      </w:pPr>
      <w:r>
        <w:t>Net cash inflows from financing activities were minor at $709 due to transactions in respect of the Commission’s four leased motor vehicles.</w:t>
      </w:r>
    </w:p>
    <w:p w:rsidR="0024051E" w:rsidRDefault="0024051E" w:rsidP="00CF3E72">
      <w:pPr>
        <w:pStyle w:val="BodyText"/>
      </w:pPr>
      <w:r>
        <w:t xml:space="preserve">Occupational health and safety </w:t>
      </w:r>
    </w:p>
    <w:p w:rsidR="0024051E" w:rsidRDefault="0024051E" w:rsidP="00CF3E72">
      <w:pPr>
        <w:pStyle w:val="BodyText"/>
      </w:pPr>
      <w:r>
        <w:t xml:space="preserve">The goal of the Commission’s occupational health and safety (OH&amp;S) arrangements is to embed a safety and wellbeing culture into everything we do to ensure staff </w:t>
      </w:r>
      <w:r>
        <w:lastRenderedPageBreak/>
        <w:t>remain safe and healthy at work. The Commission has its own OH&amp;S framework and uses the Department of Justice and Community Safety’s Accident Information Reporting System (AIRS) to record, manage and monitor incidents that have OH&amp;S implications.</w:t>
      </w:r>
    </w:p>
    <w:p w:rsidR="0024051E" w:rsidRDefault="0024051E" w:rsidP="00CF3E72">
      <w:pPr>
        <w:pStyle w:val="BodyText"/>
      </w:pPr>
      <w:r>
        <w:t xml:space="preserve">The Commission also has its own local Incident Management Team (IMT) and Incident Management Plan aimed at enhancing workplace safety and security and ensuring safe systems of work. </w:t>
      </w:r>
    </w:p>
    <w:p w:rsidR="0024051E" w:rsidRDefault="0024051E" w:rsidP="00CF3E72">
      <w:pPr>
        <w:pStyle w:val="BodyText"/>
      </w:pPr>
      <w:r>
        <w:t xml:space="preserve">The Commission has very few OH&amp;S incidents each year. However, after any incident and in each debriefing, the IMT assesses whether there are or could be any OH&amp;S implications and takes action accordingly. </w:t>
      </w:r>
    </w:p>
    <w:p w:rsidR="0024051E" w:rsidRDefault="0024051E" w:rsidP="00CF3E72">
      <w:pPr>
        <w:pStyle w:val="BodyText"/>
      </w:pPr>
      <w:r>
        <w:t xml:space="preserve">There were no incidents recorded in the AIRS for 2018–19. </w:t>
      </w:r>
    </w:p>
    <w:p w:rsidR="0024051E" w:rsidRDefault="0024051E" w:rsidP="00CF3E72">
      <w:pPr>
        <w:pStyle w:val="BodyText"/>
      </w:pPr>
      <w:r>
        <w:t>Accident Information Reporting System statistics</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20" w:firstRow="1" w:lastRow="0" w:firstColumn="0" w:lastColumn="0" w:noHBand="0" w:noVBand="0"/>
      </w:tblPr>
      <w:tblGrid>
        <w:gridCol w:w="5540"/>
        <w:gridCol w:w="1178"/>
        <w:gridCol w:w="1359"/>
        <w:gridCol w:w="1541"/>
      </w:tblGrid>
      <w:tr w:rsidR="009549EF" w:rsidRPr="009549EF" w:rsidTr="009549EF">
        <w:trPr>
          <w:trHeight w:val="311"/>
        </w:trPr>
        <w:tc>
          <w:tcPr>
            <w:tcW w:w="5540" w:type="dxa"/>
            <w:tcBorders>
              <w:bottom w:val="single" w:sz="12" w:space="0" w:color="666666"/>
            </w:tcBorders>
            <w:shd w:val="clear" w:color="auto" w:fill="auto"/>
          </w:tcPr>
          <w:p w:rsidR="0024051E" w:rsidRPr="009549EF" w:rsidRDefault="0024051E" w:rsidP="00D45122">
            <w:pPr>
              <w:pStyle w:val="BodyText"/>
              <w:rPr>
                <w:b/>
                <w:bCs/>
              </w:rPr>
            </w:pPr>
          </w:p>
        </w:tc>
        <w:tc>
          <w:tcPr>
            <w:tcW w:w="1178" w:type="dxa"/>
            <w:tcBorders>
              <w:bottom w:val="single" w:sz="12" w:space="0" w:color="666666"/>
            </w:tcBorders>
            <w:shd w:val="clear" w:color="auto" w:fill="auto"/>
          </w:tcPr>
          <w:p w:rsidR="0024051E" w:rsidRPr="009549EF" w:rsidRDefault="0024051E" w:rsidP="00D45122">
            <w:pPr>
              <w:pStyle w:val="BodyText"/>
              <w:rPr>
                <w:b/>
                <w:bCs/>
              </w:rPr>
            </w:pPr>
            <w:r w:rsidRPr="009549EF">
              <w:rPr>
                <w:b/>
                <w:bCs/>
              </w:rPr>
              <w:t>2016–17</w:t>
            </w:r>
          </w:p>
        </w:tc>
        <w:tc>
          <w:tcPr>
            <w:tcW w:w="1359" w:type="dxa"/>
            <w:tcBorders>
              <w:bottom w:val="single" w:sz="12" w:space="0" w:color="666666"/>
            </w:tcBorders>
            <w:shd w:val="clear" w:color="auto" w:fill="auto"/>
          </w:tcPr>
          <w:p w:rsidR="0024051E" w:rsidRPr="009549EF" w:rsidRDefault="0024051E" w:rsidP="00D45122">
            <w:pPr>
              <w:pStyle w:val="BodyText"/>
              <w:rPr>
                <w:b/>
                <w:bCs/>
              </w:rPr>
            </w:pPr>
            <w:r w:rsidRPr="009549EF">
              <w:rPr>
                <w:b/>
                <w:bCs/>
              </w:rPr>
              <w:t>2017–18</w:t>
            </w:r>
          </w:p>
        </w:tc>
        <w:tc>
          <w:tcPr>
            <w:tcW w:w="1541" w:type="dxa"/>
            <w:tcBorders>
              <w:bottom w:val="single" w:sz="12" w:space="0" w:color="666666"/>
            </w:tcBorders>
            <w:shd w:val="clear" w:color="auto" w:fill="auto"/>
          </w:tcPr>
          <w:p w:rsidR="0024051E" w:rsidRPr="009549EF" w:rsidRDefault="0024051E" w:rsidP="00D45122">
            <w:pPr>
              <w:pStyle w:val="BodyText"/>
              <w:rPr>
                <w:b/>
                <w:bCs/>
              </w:rPr>
            </w:pPr>
            <w:r w:rsidRPr="009549EF">
              <w:rPr>
                <w:b/>
                <w:bCs/>
              </w:rPr>
              <w:t>2018–19</w:t>
            </w:r>
          </w:p>
        </w:tc>
      </w:tr>
      <w:tr w:rsidR="009549EF" w:rsidRPr="009549EF" w:rsidTr="009549EF">
        <w:trPr>
          <w:trHeight w:val="311"/>
        </w:trPr>
        <w:tc>
          <w:tcPr>
            <w:tcW w:w="5540" w:type="dxa"/>
            <w:shd w:val="clear" w:color="auto" w:fill="auto"/>
          </w:tcPr>
          <w:p w:rsidR="0024051E" w:rsidRDefault="0024051E" w:rsidP="00D45122">
            <w:pPr>
              <w:pStyle w:val="BodyText"/>
            </w:pPr>
            <w:r>
              <w:t>Incidents*</w:t>
            </w:r>
          </w:p>
        </w:tc>
        <w:tc>
          <w:tcPr>
            <w:tcW w:w="1178" w:type="dxa"/>
            <w:shd w:val="clear" w:color="auto" w:fill="auto"/>
          </w:tcPr>
          <w:p w:rsidR="0024051E" w:rsidRDefault="0024051E" w:rsidP="00D45122">
            <w:pPr>
              <w:pStyle w:val="BodyText"/>
            </w:pPr>
            <w:r>
              <w:t>2</w:t>
            </w:r>
          </w:p>
        </w:tc>
        <w:tc>
          <w:tcPr>
            <w:tcW w:w="1359" w:type="dxa"/>
            <w:shd w:val="clear" w:color="auto" w:fill="auto"/>
          </w:tcPr>
          <w:p w:rsidR="0024051E" w:rsidRDefault="0024051E" w:rsidP="00D45122">
            <w:pPr>
              <w:pStyle w:val="BodyText"/>
            </w:pPr>
            <w:r>
              <w:t>2</w:t>
            </w:r>
          </w:p>
        </w:tc>
        <w:tc>
          <w:tcPr>
            <w:tcW w:w="1541" w:type="dxa"/>
            <w:shd w:val="clear" w:color="auto" w:fill="auto"/>
          </w:tcPr>
          <w:p w:rsidR="0024051E" w:rsidRDefault="0024051E" w:rsidP="00D45122">
            <w:pPr>
              <w:pStyle w:val="BodyText"/>
            </w:pPr>
            <w:r>
              <w:t>0</w:t>
            </w:r>
          </w:p>
        </w:tc>
      </w:tr>
      <w:tr w:rsidR="009549EF" w:rsidRPr="009549EF" w:rsidTr="009549EF">
        <w:trPr>
          <w:trHeight w:val="311"/>
        </w:trPr>
        <w:tc>
          <w:tcPr>
            <w:tcW w:w="5540" w:type="dxa"/>
            <w:shd w:val="clear" w:color="auto" w:fill="auto"/>
          </w:tcPr>
          <w:p w:rsidR="0024051E" w:rsidRDefault="0024051E" w:rsidP="00D45122">
            <w:pPr>
              <w:pStyle w:val="BodyText"/>
            </w:pPr>
            <w:r>
              <w:t>Injuries requiring first aid or medical treatment</w:t>
            </w:r>
          </w:p>
        </w:tc>
        <w:tc>
          <w:tcPr>
            <w:tcW w:w="1178" w:type="dxa"/>
            <w:shd w:val="clear" w:color="auto" w:fill="auto"/>
          </w:tcPr>
          <w:p w:rsidR="0024051E" w:rsidRDefault="0024051E" w:rsidP="00D45122">
            <w:pPr>
              <w:pStyle w:val="BodyText"/>
            </w:pPr>
            <w:r>
              <w:t>2</w:t>
            </w:r>
          </w:p>
        </w:tc>
        <w:tc>
          <w:tcPr>
            <w:tcW w:w="1359" w:type="dxa"/>
            <w:shd w:val="clear" w:color="auto" w:fill="auto"/>
          </w:tcPr>
          <w:p w:rsidR="0024051E" w:rsidRDefault="0024051E" w:rsidP="00D45122">
            <w:pPr>
              <w:pStyle w:val="BodyText"/>
            </w:pPr>
            <w:r>
              <w:t>1</w:t>
            </w:r>
          </w:p>
        </w:tc>
        <w:tc>
          <w:tcPr>
            <w:tcW w:w="1541" w:type="dxa"/>
            <w:shd w:val="clear" w:color="auto" w:fill="auto"/>
          </w:tcPr>
          <w:p w:rsidR="0024051E" w:rsidRDefault="0024051E" w:rsidP="00D45122">
            <w:pPr>
              <w:pStyle w:val="BodyText"/>
            </w:pPr>
            <w:r>
              <w:t>0</w:t>
            </w:r>
          </w:p>
        </w:tc>
      </w:tr>
      <w:tr w:rsidR="009549EF" w:rsidRPr="009549EF" w:rsidTr="009549EF">
        <w:trPr>
          <w:trHeight w:val="311"/>
        </w:trPr>
        <w:tc>
          <w:tcPr>
            <w:tcW w:w="5540" w:type="dxa"/>
            <w:shd w:val="clear" w:color="auto" w:fill="auto"/>
          </w:tcPr>
          <w:p w:rsidR="0024051E" w:rsidRDefault="0024051E" w:rsidP="00D45122">
            <w:pPr>
              <w:pStyle w:val="BodyText"/>
            </w:pPr>
            <w:r>
              <w:t>Injuries resulting in WorkCover claims</w:t>
            </w:r>
          </w:p>
        </w:tc>
        <w:tc>
          <w:tcPr>
            <w:tcW w:w="1178" w:type="dxa"/>
            <w:shd w:val="clear" w:color="auto" w:fill="auto"/>
          </w:tcPr>
          <w:p w:rsidR="0024051E" w:rsidRDefault="0024051E" w:rsidP="00D45122">
            <w:pPr>
              <w:pStyle w:val="BodyText"/>
            </w:pPr>
            <w:r>
              <w:t>0</w:t>
            </w:r>
          </w:p>
        </w:tc>
        <w:tc>
          <w:tcPr>
            <w:tcW w:w="1359" w:type="dxa"/>
            <w:shd w:val="clear" w:color="auto" w:fill="auto"/>
          </w:tcPr>
          <w:p w:rsidR="0024051E" w:rsidRDefault="0024051E" w:rsidP="00D45122">
            <w:pPr>
              <w:pStyle w:val="BodyText"/>
            </w:pPr>
            <w:r>
              <w:t>0</w:t>
            </w:r>
          </w:p>
        </w:tc>
        <w:tc>
          <w:tcPr>
            <w:tcW w:w="1541" w:type="dxa"/>
            <w:shd w:val="clear" w:color="auto" w:fill="auto"/>
          </w:tcPr>
          <w:p w:rsidR="0024051E" w:rsidRDefault="0024051E" w:rsidP="00D45122">
            <w:pPr>
              <w:pStyle w:val="BodyText"/>
            </w:pPr>
            <w:r>
              <w:t>0</w:t>
            </w:r>
          </w:p>
        </w:tc>
      </w:tr>
      <w:tr w:rsidR="009549EF" w:rsidRPr="009549EF" w:rsidTr="009549EF">
        <w:trPr>
          <w:trHeight w:val="311"/>
        </w:trPr>
        <w:tc>
          <w:tcPr>
            <w:tcW w:w="5540" w:type="dxa"/>
            <w:shd w:val="clear" w:color="auto" w:fill="auto"/>
          </w:tcPr>
          <w:p w:rsidR="0024051E" w:rsidRDefault="0024051E" w:rsidP="00D45122">
            <w:pPr>
              <w:pStyle w:val="BodyText"/>
            </w:pPr>
            <w:r>
              <w:t>WorkCover claims resulting in lost work time</w:t>
            </w:r>
          </w:p>
        </w:tc>
        <w:tc>
          <w:tcPr>
            <w:tcW w:w="1178" w:type="dxa"/>
            <w:shd w:val="clear" w:color="auto" w:fill="auto"/>
          </w:tcPr>
          <w:p w:rsidR="0024051E" w:rsidRDefault="0024051E" w:rsidP="00D45122">
            <w:pPr>
              <w:pStyle w:val="BodyText"/>
            </w:pPr>
            <w:r>
              <w:t>0</w:t>
            </w:r>
          </w:p>
        </w:tc>
        <w:tc>
          <w:tcPr>
            <w:tcW w:w="1359" w:type="dxa"/>
            <w:shd w:val="clear" w:color="auto" w:fill="auto"/>
          </w:tcPr>
          <w:p w:rsidR="0024051E" w:rsidRDefault="0024051E" w:rsidP="00D45122">
            <w:pPr>
              <w:pStyle w:val="BodyText"/>
            </w:pPr>
            <w:r>
              <w:t>0</w:t>
            </w:r>
          </w:p>
        </w:tc>
        <w:tc>
          <w:tcPr>
            <w:tcW w:w="1541" w:type="dxa"/>
            <w:shd w:val="clear" w:color="auto" w:fill="auto"/>
          </w:tcPr>
          <w:p w:rsidR="0024051E" w:rsidRDefault="0024051E" w:rsidP="00D45122">
            <w:pPr>
              <w:pStyle w:val="BodyText"/>
            </w:pPr>
            <w:r>
              <w:t>0</w:t>
            </w:r>
          </w:p>
        </w:tc>
      </w:tr>
    </w:tbl>
    <w:p w:rsidR="0024051E" w:rsidRDefault="0024051E" w:rsidP="00D75F90">
      <w:pPr>
        <w:pStyle w:val="Heading5"/>
      </w:pPr>
      <w:r>
        <w:t>*As related to employees (therefore executing members of the public, contractors, etc). Incidents are defined as including hazards, near misses and injuries.</w:t>
      </w:r>
    </w:p>
    <w:p w:rsidR="0024051E" w:rsidRDefault="0024051E" w:rsidP="00CF3E72">
      <w:pPr>
        <w:pStyle w:val="BodyText"/>
      </w:pPr>
      <w:r>
        <w:t>Employment and conduct principles</w:t>
      </w:r>
    </w:p>
    <w:p w:rsidR="0024051E" w:rsidRDefault="0024051E" w:rsidP="00CF3E72">
      <w:pPr>
        <w:pStyle w:val="BodyText"/>
      </w:pPr>
      <w:r>
        <w:t>The Commission is committed to applying merit and equity principles when appointing staff. The selection processes ensure that applicants are assessed and evaluated equitably and fairly on the basis of the key selection criteria and other accountabilities without discrimination.</w:t>
      </w:r>
    </w:p>
    <w:p w:rsidR="0024051E" w:rsidRDefault="0024051E" w:rsidP="00CF3E72">
      <w:pPr>
        <w:pStyle w:val="BodyText"/>
      </w:pPr>
      <w:r>
        <w:t>Public sector values and employment principles</w:t>
      </w:r>
    </w:p>
    <w:p w:rsidR="0024051E" w:rsidRDefault="0024051E" w:rsidP="00CF3E72">
      <w:pPr>
        <w:pStyle w:val="BodyText"/>
      </w:pPr>
      <w:r>
        <w:t xml:space="preserve">In addition to the Victorian Public Sector Commission’s (VPSC) role under the </w:t>
      </w:r>
      <w:r w:rsidRPr="00485D7B">
        <w:rPr>
          <w:rStyle w:val="Characteritalic"/>
          <w:lang w:eastAsia="en-US"/>
        </w:rPr>
        <w:t>Public Administration Act 2004</w:t>
      </w:r>
      <w:r>
        <w:t xml:space="preserve"> to advocate for public sector professionalism and integrity and to strengthen overall Victorian public sector efficiency, effectiveness and capability, the Commission also has a broad role under its three governing Acts</w:t>
      </w:r>
      <w:r>
        <w:rPr>
          <w:vertAlign w:val="superscript"/>
        </w:rPr>
        <w:footnoteReference w:id="1"/>
      </w:r>
      <w:r>
        <w:t xml:space="preserve">, to protect and promote human rights and equal opportunity in employment and related areas for all Victorian organisations. </w:t>
      </w:r>
    </w:p>
    <w:p w:rsidR="0024051E" w:rsidRDefault="0024051E" w:rsidP="00CF3E72">
      <w:pPr>
        <w:pStyle w:val="BodyText"/>
      </w:pPr>
      <w:r>
        <w:t xml:space="preserve">The Commission’s role also extends to other settings including education, provision of goods and services, transfer of land, accommodation, clubs and in sport. The Commission’s external work in these areas in 2018–19 is reported elsewhere in this Annual Report. </w:t>
      </w:r>
    </w:p>
    <w:p w:rsidR="0024051E" w:rsidRDefault="0024051E" w:rsidP="00CF3E72">
      <w:pPr>
        <w:pStyle w:val="BodyText"/>
      </w:pPr>
      <w:r>
        <w:lastRenderedPageBreak/>
        <w:t xml:space="preserve">Internally, in addition to promoting public sector values and employment principles, the Commission has its own set of values – Creativity, Accountability, Rigour and Empathy. These values describe what’s important to us in how we act with our colleagues, our partners and the people and communities we work with. During 2018–19 the Commission worked to embed its values into its recruitment, induction and internal governance processes. </w:t>
      </w:r>
    </w:p>
    <w:p w:rsidR="0024051E" w:rsidRDefault="0024051E" w:rsidP="00CF3E72">
      <w:pPr>
        <w:pStyle w:val="BodyText"/>
      </w:pPr>
      <w:r>
        <w:t>Workforce inclusion policy</w:t>
      </w:r>
    </w:p>
    <w:p w:rsidR="0024051E" w:rsidRDefault="0024051E" w:rsidP="00CF3E72">
      <w:pPr>
        <w:pStyle w:val="BodyText"/>
      </w:pPr>
      <w:r>
        <w:t xml:space="preserve">The Commission has an inclusive working environment where equal opportunity and diversity are valued. In 2018–19, the Commission delivered on the first year of its internal Diversity and Inclusion Action Plan 2018–20. Initiatives include developing a structured internship program to attract and develop diverse student populations, redeveloping our position descriptions and sourcing methods to attract more diverse candidates and changing our application and interview processes to reduce barriers and make the process more inclusive for candidates with diverse needs and backgrounds. The Commission also established its internal Diversity and Inclusion Reference group to monitor and oversee the plan. </w:t>
      </w:r>
    </w:p>
    <w:p w:rsidR="0024051E" w:rsidRDefault="0024051E" w:rsidP="00CF3E72">
      <w:pPr>
        <w:pStyle w:val="BodyText"/>
      </w:pPr>
      <w:r>
        <w:t>The Commission values staff with non-binary gender identities. However, the Commission acknowledges that due to historic and current barriers to disclosure of non-binary gender identities, staff may not choose to disclose this information and have not been surveyed as such. As a result, the following tables in the Comparative Workforce Data section still only reflect binary gender categories</w:t>
      </w:r>
    </w:p>
    <w:p w:rsidR="0024051E" w:rsidRDefault="0024051E" w:rsidP="00CF3E72">
      <w:pPr>
        <w:pStyle w:val="BodyText"/>
      </w:pPr>
      <w:r>
        <w:t xml:space="preserve">Comparative workforce data </w:t>
      </w:r>
    </w:p>
    <w:p w:rsidR="0024051E" w:rsidRDefault="0024051E" w:rsidP="00CF3E72">
      <w:pPr>
        <w:pStyle w:val="BodyText"/>
      </w:pPr>
      <w:r>
        <w:t xml:space="preserve">The following tables disclose the head count and full-time equivalent (FTE) of all active public service employees of the Commission, employed in the last full pay period in June of the current reporting period (2019), and in the last full pay period in June of the previous reporting period (2018). </w:t>
      </w:r>
    </w:p>
    <w:p w:rsidR="0024051E" w:rsidRDefault="0024051E" w:rsidP="00485D7B">
      <w:pPr>
        <w:pStyle w:val="Heading5"/>
      </w:pPr>
      <w:r>
        <w:t>Workforce data trends</w:t>
      </w:r>
      <w:r>
        <w:tab/>
      </w: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020" w:firstRow="1" w:lastRow="0" w:firstColumn="0" w:lastColumn="0" w:noHBand="0" w:noVBand="0"/>
      </w:tblPr>
      <w:tblGrid>
        <w:gridCol w:w="1294"/>
        <w:gridCol w:w="1474"/>
        <w:gridCol w:w="642"/>
        <w:gridCol w:w="1437"/>
        <w:gridCol w:w="642"/>
        <w:gridCol w:w="1474"/>
        <w:gridCol w:w="567"/>
        <w:gridCol w:w="1436"/>
        <w:gridCol w:w="652"/>
      </w:tblGrid>
      <w:tr w:rsidR="009549EF" w:rsidRPr="009549EF" w:rsidTr="009549EF">
        <w:trPr>
          <w:trHeight w:val="340"/>
        </w:trPr>
        <w:tc>
          <w:tcPr>
            <w:tcW w:w="1294" w:type="dxa"/>
            <w:tcBorders>
              <w:top w:val="single" w:sz="4" w:space="0" w:color="000000"/>
              <w:left w:val="single" w:sz="4" w:space="0" w:color="000000"/>
              <w:bottom w:val="single" w:sz="4" w:space="0" w:color="000000"/>
              <w:right w:val="nil"/>
            </w:tcBorders>
            <w:shd w:val="clear" w:color="auto" w:fill="000000"/>
          </w:tcPr>
          <w:p w:rsidR="0024051E" w:rsidRPr="009549EF" w:rsidRDefault="0024051E" w:rsidP="00D75F90">
            <w:pPr>
              <w:pStyle w:val="BodyText"/>
              <w:rPr>
                <w:b/>
                <w:bCs/>
                <w:color w:val="FFFFFF"/>
              </w:rPr>
            </w:pPr>
          </w:p>
        </w:tc>
        <w:tc>
          <w:tcPr>
            <w:tcW w:w="2116" w:type="dxa"/>
            <w:gridSpan w:val="2"/>
            <w:tcBorders>
              <w:top w:val="single" w:sz="4" w:space="0" w:color="000000"/>
              <w:left w:val="nil"/>
              <w:bottom w:val="single" w:sz="4" w:space="0" w:color="000000"/>
              <w:right w:val="nil"/>
            </w:tcBorders>
            <w:shd w:val="clear" w:color="auto" w:fill="000000"/>
          </w:tcPr>
          <w:p w:rsidR="0024051E" w:rsidRPr="009549EF" w:rsidRDefault="0024051E" w:rsidP="00D75F90">
            <w:pPr>
              <w:pStyle w:val="BodyText"/>
              <w:rPr>
                <w:b/>
                <w:bCs/>
                <w:color w:val="FFFFFF"/>
              </w:rPr>
            </w:pPr>
            <w:r w:rsidRPr="009549EF">
              <w:rPr>
                <w:b/>
                <w:bCs/>
                <w:color w:val="FFFFFF"/>
              </w:rPr>
              <w:t>Ongoing</w:t>
            </w:r>
          </w:p>
        </w:tc>
        <w:tc>
          <w:tcPr>
            <w:tcW w:w="2079" w:type="dxa"/>
            <w:gridSpan w:val="2"/>
            <w:tcBorders>
              <w:top w:val="single" w:sz="4" w:space="0" w:color="000000"/>
              <w:left w:val="nil"/>
              <w:bottom w:val="single" w:sz="4" w:space="0" w:color="000000"/>
              <w:right w:val="nil"/>
            </w:tcBorders>
            <w:shd w:val="clear" w:color="auto" w:fill="000000"/>
          </w:tcPr>
          <w:p w:rsidR="0024051E" w:rsidRPr="009549EF" w:rsidRDefault="0024051E" w:rsidP="00D75F90">
            <w:pPr>
              <w:pStyle w:val="BodyText"/>
              <w:rPr>
                <w:b/>
                <w:bCs/>
                <w:color w:val="FFFFFF"/>
              </w:rPr>
            </w:pPr>
            <w:r w:rsidRPr="009549EF">
              <w:rPr>
                <w:b/>
                <w:bCs/>
                <w:color w:val="FFFFFF"/>
              </w:rPr>
              <w:t>Fixed Term</w:t>
            </w:r>
          </w:p>
        </w:tc>
        <w:tc>
          <w:tcPr>
            <w:tcW w:w="2041" w:type="dxa"/>
            <w:gridSpan w:val="2"/>
            <w:tcBorders>
              <w:top w:val="single" w:sz="4" w:space="0" w:color="000000"/>
              <w:left w:val="nil"/>
              <w:bottom w:val="single" w:sz="4" w:space="0" w:color="000000"/>
              <w:right w:val="nil"/>
            </w:tcBorders>
            <w:shd w:val="clear" w:color="auto" w:fill="000000"/>
          </w:tcPr>
          <w:p w:rsidR="0024051E" w:rsidRPr="009549EF" w:rsidRDefault="0024051E" w:rsidP="00D75F90">
            <w:pPr>
              <w:pStyle w:val="BodyText"/>
              <w:rPr>
                <w:b/>
                <w:bCs/>
                <w:color w:val="FFFFFF"/>
              </w:rPr>
            </w:pPr>
            <w:r w:rsidRPr="009549EF">
              <w:rPr>
                <w:b/>
                <w:bCs/>
                <w:color w:val="FFFFFF"/>
              </w:rPr>
              <w:t>Casual</w:t>
            </w:r>
          </w:p>
        </w:tc>
        <w:tc>
          <w:tcPr>
            <w:tcW w:w="2088" w:type="dxa"/>
            <w:gridSpan w:val="2"/>
            <w:tcBorders>
              <w:top w:val="single" w:sz="4" w:space="0" w:color="000000"/>
              <w:left w:val="nil"/>
              <w:bottom w:val="single" w:sz="4" w:space="0" w:color="000000"/>
              <w:right w:val="single" w:sz="4" w:space="0" w:color="000000"/>
            </w:tcBorders>
            <w:shd w:val="clear" w:color="auto" w:fill="000000"/>
          </w:tcPr>
          <w:p w:rsidR="0024051E" w:rsidRPr="009549EF" w:rsidRDefault="0024051E" w:rsidP="00D75F90">
            <w:pPr>
              <w:pStyle w:val="BodyText"/>
              <w:rPr>
                <w:b/>
                <w:bCs/>
                <w:color w:val="FFFFFF"/>
              </w:rPr>
            </w:pPr>
            <w:r w:rsidRPr="009549EF">
              <w:rPr>
                <w:b/>
                <w:bCs/>
                <w:color w:val="FFFFFF"/>
              </w:rPr>
              <w:t>Total</w:t>
            </w:r>
          </w:p>
        </w:tc>
      </w:tr>
      <w:tr w:rsidR="009549EF" w:rsidRPr="009549EF" w:rsidTr="00C30441">
        <w:trPr>
          <w:trHeight w:val="340"/>
        </w:trPr>
        <w:tc>
          <w:tcPr>
            <w:tcW w:w="1294" w:type="dxa"/>
            <w:shd w:val="clear" w:color="auto" w:fill="FFFFFF" w:themeFill="background1"/>
          </w:tcPr>
          <w:p w:rsidR="0024051E" w:rsidRDefault="0024051E" w:rsidP="00D75F90">
            <w:pPr>
              <w:pStyle w:val="BodyText"/>
            </w:pPr>
          </w:p>
        </w:tc>
        <w:tc>
          <w:tcPr>
            <w:tcW w:w="1474" w:type="dxa"/>
            <w:shd w:val="clear" w:color="auto" w:fill="FFFFFF" w:themeFill="background1"/>
          </w:tcPr>
          <w:p w:rsidR="0024051E" w:rsidRDefault="0024051E" w:rsidP="00D75F90">
            <w:pPr>
              <w:pStyle w:val="BodyText"/>
            </w:pPr>
            <w:r>
              <w:t>Number (Headcount)</w:t>
            </w:r>
          </w:p>
        </w:tc>
        <w:tc>
          <w:tcPr>
            <w:tcW w:w="642" w:type="dxa"/>
            <w:shd w:val="clear" w:color="auto" w:fill="FFFFFF" w:themeFill="background1"/>
          </w:tcPr>
          <w:p w:rsidR="0024051E" w:rsidRDefault="0024051E" w:rsidP="00D75F90">
            <w:pPr>
              <w:pStyle w:val="BodyText"/>
            </w:pPr>
            <w:r>
              <w:t>FTE</w:t>
            </w:r>
          </w:p>
        </w:tc>
        <w:tc>
          <w:tcPr>
            <w:tcW w:w="1437" w:type="dxa"/>
            <w:shd w:val="clear" w:color="auto" w:fill="FFFFFF" w:themeFill="background1"/>
          </w:tcPr>
          <w:p w:rsidR="0024051E" w:rsidRDefault="0024051E" w:rsidP="00D75F90">
            <w:pPr>
              <w:pStyle w:val="BodyText"/>
            </w:pPr>
            <w:r>
              <w:t>Number (Headcount)</w:t>
            </w:r>
          </w:p>
        </w:tc>
        <w:tc>
          <w:tcPr>
            <w:tcW w:w="642" w:type="dxa"/>
            <w:shd w:val="clear" w:color="auto" w:fill="FFFFFF" w:themeFill="background1"/>
          </w:tcPr>
          <w:p w:rsidR="0024051E" w:rsidRDefault="0024051E" w:rsidP="00D75F90">
            <w:pPr>
              <w:pStyle w:val="BodyText"/>
            </w:pPr>
            <w:r>
              <w:t>FTE</w:t>
            </w:r>
          </w:p>
        </w:tc>
        <w:tc>
          <w:tcPr>
            <w:tcW w:w="1474" w:type="dxa"/>
            <w:shd w:val="clear" w:color="auto" w:fill="FFFFFF" w:themeFill="background1"/>
          </w:tcPr>
          <w:p w:rsidR="0024051E" w:rsidRDefault="0024051E" w:rsidP="00D75F90">
            <w:pPr>
              <w:pStyle w:val="BodyText"/>
            </w:pPr>
            <w:r>
              <w:t>Number (Headcount)</w:t>
            </w:r>
          </w:p>
        </w:tc>
        <w:tc>
          <w:tcPr>
            <w:tcW w:w="567" w:type="dxa"/>
            <w:shd w:val="clear" w:color="auto" w:fill="FFFFFF" w:themeFill="background1"/>
          </w:tcPr>
          <w:p w:rsidR="0024051E" w:rsidRDefault="0024051E" w:rsidP="00D75F90">
            <w:pPr>
              <w:pStyle w:val="BodyText"/>
            </w:pPr>
            <w:r>
              <w:t>FTE</w:t>
            </w:r>
          </w:p>
        </w:tc>
        <w:tc>
          <w:tcPr>
            <w:tcW w:w="1436" w:type="dxa"/>
            <w:shd w:val="clear" w:color="auto" w:fill="FFFFFF" w:themeFill="background1"/>
          </w:tcPr>
          <w:p w:rsidR="0024051E" w:rsidRDefault="0024051E" w:rsidP="00D75F90">
            <w:pPr>
              <w:pStyle w:val="BodyText"/>
            </w:pPr>
            <w:r>
              <w:t>Number (Headcount)</w:t>
            </w:r>
          </w:p>
        </w:tc>
        <w:tc>
          <w:tcPr>
            <w:tcW w:w="652" w:type="dxa"/>
            <w:shd w:val="clear" w:color="auto" w:fill="FFFFFF" w:themeFill="background1"/>
          </w:tcPr>
          <w:p w:rsidR="0024051E" w:rsidRDefault="0024051E" w:rsidP="00D75F90">
            <w:pPr>
              <w:pStyle w:val="BodyText"/>
            </w:pPr>
            <w:r>
              <w:t>FTE</w:t>
            </w:r>
          </w:p>
        </w:tc>
      </w:tr>
      <w:tr w:rsidR="009549EF" w:rsidRPr="009549EF" w:rsidTr="00C30441">
        <w:trPr>
          <w:trHeight w:val="340"/>
        </w:trPr>
        <w:tc>
          <w:tcPr>
            <w:tcW w:w="1294" w:type="dxa"/>
            <w:shd w:val="clear" w:color="auto" w:fill="FFFFFF" w:themeFill="background1"/>
          </w:tcPr>
          <w:p w:rsidR="0024051E" w:rsidRDefault="0024051E" w:rsidP="00D75F90">
            <w:pPr>
              <w:pStyle w:val="BodyText"/>
            </w:pPr>
            <w:r>
              <w:t xml:space="preserve">June 2018      </w:t>
            </w:r>
          </w:p>
        </w:tc>
        <w:tc>
          <w:tcPr>
            <w:tcW w:w="1474" w:type="dxa"/>
            <w:shd w:val="clear" w:color="auto" w:fill="FFFFFF" w:themeFill="background1"/>
          </w:tcPr>
          <w:p w:rsidR="0024051E" w:rsidRDefault="0024051E" w:rsidP="00D75F90">
            <w:pPr>
              <w:pStyle w:val="BodyText"/>
            </w:pPr>
            <w:r>
              <w:t xml:space="preserve"> 40</w:t>
            </w:r>
          </w:p>
        </w:tc>
        <w:tc>
          <w:tcPr>
            <w:tcW w:w="642" w:type="dxa"/>
            <w:shd w:val="clear" w:color="auto" w:fill="FFFFFF" w:themeFill="background1"/>
          </w:tcPr>
          <w:p w:rsidR="0024051E" w:rsidRDefault="0024051E" w:rsidP="00D75F90">
            <w:pPr>
              <w:pStyle w:val="BodyText"/>
            </w:pPr>
            <w:r>
              <w:t>36.1</w:t>
            </w:r>
          </w:p>
        </w:tc>
        <w:tc>
          <w:tcPr>
            <w:tcW w:w="1437" w:type="dxa"/>
            <w:shd w:val="clear" w:color="auto" w:fill="FFFFFF" w:themeFill="background1"/>
          </w:tcPr>
          <w:p w:rsidR="0024051E" w:rsidRDefault="0024051E" w:rsidP="00D75F90">
            <w:pPr>
              <w:pStyle w:val="BodyText"/>
            </w:pPr>
            <w:r>
              <w:t>17</w:t>
            </w:r>
          </w:p>
        </w:tc>
        <w:tc>
          <w:tcPr>
            <w:tcW w:w="642" w:type="dxa"/>
            <w:shd w:val="clear" w:color="auto" w:fill="FFFFFF" w:themeFill="background1"/>
          </w:tcPr>
          <w:p w:rsidR="0024051E" w:rsidRDefault="0024051E" w:rsidP="00D75F90">
            <w:pPr>
              <w:pStyle w:val="BodyText"/>
            </w:pPr>
            <w:r>
              <w:t>15.3</w:t>
            </w:r>
          </w:p>
        </w:tc>
        <w:tc>
          <w:tcPr>
            <w:tcW w:w="1474" w:type="dxa"/>
            <w:shd w:val="clear" w:color="auto" w:fill="FFFFFF" w:themeFill="background1"/>
          </w:tcPr>
          <w:p w:rsidR="0024051E" w:rsidRDefault="0024051E" w:rsidP="00D75F90">
            <w:pPr>
              <w:pStyle w:val="BodyText"/>
            </w:pPr>
            <w:r>
              <w:t>0</w:t>
            </w:r>
          </w:p>
        </w:tc>
        <w:tc>
          <w:tcPr>
            <w:tcW w:w="567" w:type="dxa"/>
            <w:shd w:val="clear" w:color="auto" w:fill="FFFFFF" w:themeFill="background1"/>
          </w:tcPr>
          <w:p w:rsidR="0024051E" w:rsidRDefault="0024051E" w:rsidP="00D75F90">
            <w:pPr>
              <w:pStyle w:val="BodyText"/>
            </w:pPr>
            <w:r>
              <w:t>0</w:t>
            </w:r>
          </w:p>
        </w:tc>
        <w:tc>
          <w:tcPr>
            <w:tcW w:w="1436" w:type="dxa"/>
            <w:shd w:val="clear" w:color="auto" w:fill="FFFFFF" w:themeFill="background1"/>
          </w:tcPr>
          <w:p w:rsidR="0024051E" w:rsidRDefault="0024051E" w:rsidP="00D75F90">
            <w:pPr>
              <w:pStyle w:val="BodyText"/>
            </w:pPr>
            <w:r>
              <w:t>57</w:t>
            </w:r>
          </w:p>
        </w:tc>
        <w:tc>
          <w:tcPr>
            <w:tcW w:w="652" w:type="dxa"/>
            <w:shd w:val="clear" w:color="auto" w:fill="FFFFFF" w:themeFill="background1"/>
          </w:tcPr>
          <w:p w:rsidR="0024051E" w:rsidRDefault="0024051E" w:rsidP="00D75F90">
            <w:pPr>
              <w:pStyle w:val="BodyText"/>
            </w:pPr>
            <w:r>
              <w:t>51.4</w:t>
            </w:r>
          </w:p>
        </w:tc>
      </w:tr>
      <w:tr w:rsidR="009549EF" w:rsidRPr="009549EF" w:rsidTr="00C30441">
        <w:trPr>
          <w:trHeight w:val="340"/>
        </w:trPr>
        <w:tc>
          <w:tcPr>
            <w:tcW w:w="1294" w:type="dxa"/>
            <w:shd w:val="clear" w:color="auto" w:fill="FFFFFF" w:themeFill="background1"/>
          </w:tcPr>
          <w:p w:rsidR="0024051E" w:rsidRDefault="0024051E" w:rsidP="00D75F90">
            <w:pPr>
              <w:pStyle w:val="BodyText"/>
            </w:pPr>
            <w:r>
              <w:t xml:space="preserve">June 2019              </w:t>
            </w:r>
          </w:p>
        </w:tc>
        <w:tc>
          <w:tcPr>
            <w:tcW w:w="1474" w:type="dxa"/>
            <w:shd w:val="clear" w:color="auto" w:fill="FFFFFF" w:themeFill="background1"/>
          </w:tcPr>
          <w:p w:rsidR="0024051E" w:rsidRDefault="0024051E" w:rsidP="00D75F90">
            <w:pPr>
              <w:pStyle w:val="BodyText"/>
            </w:pPr>
            <w:r>
              <w:t>40</w:t>
            </w:r>
          </w:p>
        </w:tc>
        <w:tc>
          <w:tcPr>
            <w:tcW w:w="642" w:type="dxa"/>
            <w:shd w:val="clear" w:color="auto" w:fill="FFFFFF" w:themeFill="background1"/>
          </w:tcPr>
          <w:p w:rsidR="0024051E" w:rsidRDefault="0024051E" w:rsidP="00D75F90">
            <w:pPr>
              <w:pStyle w:val="BodyText"/>
            </w:pPr>
            <w:r>
              <w:t>37.1</w:t>
            </w:r>
          </w:p>
        </w:tc>
        <w:tc>
          <w:tcPr>
            <w:tcW w:w="1437" w:type="dxa"/>
            <w:shd w:val="clear" w:color="auto" w:fill="FFFFFF" w:themeFill="background1"/>
          </w:tcPr>
          <w:p w:rsidR="0024051E" w:rsidRDefault="0024051E" w:rsidP="00D75F90">
            <w:pPr>
              <w:pStyle w:val="BodyText"/>
            </w:pPr>
            <w:r>
              <w:t>16</w:t>
            </w:r>
          </w:p>
        </w:tc>
        <w:tc>
          <w:tcPr>
            <w:tcW w:w="642" w:type="dxa"/>
            <w:shd w:val="clear" w:color="auto" w:fill="FFFFFF" w:themeFill="background1"/>
          </w:tcPr>
          <w:p w:rsidR="0024051E" w:rsidRDefault="0024051E" w:rsidP="00D75F90">
            <w:pPr>
              <w:pStyle w:val="BodyText"/>
            </w:pPr>
            <w:r>
              <w:t>14.6</w:t>
            </w:r>
          </w:p>
        </w:tc>
        <w:tc>
          <w:tcPr>
            <w:tcW w:w="1474" w:type="dxa"/>
            <w:shd w:val="clear" w:color="auto" w:fill="FFFFFF" w:themeFill="background1"/>
          </w:tcPr>
          <w:p w:rsidR="0024051E" w:rsidRDefault="0024051E" w:rsidP="00D75F90">
            <w:pPr>
              <w:pStyle w:val="BodyText"/>
            </w:pPr>
            <w:r>
              <w:t>0</w:t>
            </w:r>
          </w:p>
        </w:tc>
        <w:tc>
          <w:tcPr>
            <w:tcW w:w="567" w:type="dxa"/>
            <w:shd w:val="clear" w:color="auto" w:fill="FFFFFF" w:themeFill="background1"/>
          </w:tcPr>
          <w:p w:rsidR="0024051E" w:rsidRDefault="0024051E" w:rsidP="00D75F90">
            <w:pPr>
              <w:pStyle w:val="BodyText"/>
            </w:pPr>
            <w:r>
              <w:t>0</w:t>
            </w:r>
          </w:p>
        </w:tc>
        <w:tc>
          <w:tcPr>
            <w:tcW w:w="1436" w:type="dxa"/>
            <w:shd w:val="clear" w:color="auto" w:fill="FFFFFF" w:themeFill="background1"/>
          </w:tcPr>
          <w:p w:rsidR="0024051E" w:rsidRDefault="0024051E" w:rsidP="00D75F90">
            <w:pPr>
              <w:pStyle w:val="BodyText"/>
            </w:pPr>
            <w:r>
              <w:t>56</w:t>
            </w:r>
          </w:p>
        </w:tc>
        <w:tc>
          <w:tcPr>
            <w:tcW w:w="652" w:type="dxa"/>
            <w:shd w:val="clear" w:color="auto" w:fill="FFFFFF" w:themeFill="background1"/>
          </w:tcPr>
          <w:p w:rsidR="0024051E" w:rsidRDefault="0024051E" w:rsidP="00D75F90">
            <w:pPr>
              <w:pStyle w:val="BodyText"/>
            </w:pPr>
            <w:r>
              <w:t>51.7</w:t>
            </w:r>
          </w:p>
        </w:tc>
      </w:tr>
    </w:tbl>
    <w:p w:rsidR="0024051E" w:rsidRDefault="0024051E" w:rsidP="00485D7B">
      <w:pPr>
        <w:pStyle w:val="Heading5"/>
      </w:pPr>
    </w:p>
    <w:p w:rsidR="0024051E" w:rsidRDefault="00C30441" w:rsidP="00485D7B">
      <w:pPr>
        <w:pStyle w:val="Heading5"/>
      </w:pPr>
      <w:r>
        <w:br w:type="page"/>
      </w:r>
      <w:r w:rsidR="0024051E" w:rsidRPr="00485D7B">
        <w:lastRenderedPageBreak/>
        <w:t>Details of employment levels in June 2019</w:t>
      </w: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020" w:firstRow="1" w:lastRow="0" w:firstColumn="0" w:lastColumn="0" w:noHBand="0" w:noVBand="0"/>
      </w:tblPr>
      <w:tblGrid>
        <w:gridCol w:w="538"/>
        <w:gridCol w:w="1984"/>
        <w:gridCol w:w="1418"/>
        <w:gridCol w:w="737"/>
        <w:gridCol w:w="1417"/>
        <w:gridCol w:w="737"/>
        <w:gridCol w:w="1417"/>
        <w:gridCol w:w="1143"/>
      </w:tblGrid>
      <w:tr w:rsidR="009549EF" w:rsidRPr="009549EF" w:rsidTr="009549EF">
        <w:trPr>
          <w:trHeight w:val="538"/>
        </w:trPr>
        <w:tc>
          <w:tcPr>
            <w:tcW w:w="538" w:type="dxa"/>
            <w:vMerge w:val="restart"/>
            <w:tcBorders>
              <w:top w:val="single" w:sz="4" w:space="0" w:color="000000"/>
              <w:left w:val="single" w:sz="4" w:space="0" w:color="000000"/>
              <w:bottom w:val="single" w:sz="4" w:space="0" w:color="000000"/>
              <w:right w:val="nil"/>
            </w:tcBorders>
            <w:shd w:val="clear" w:color="auto" w:fill="000000"/>
          </w:tcPr>
          <w:p w:rsidR="0024051E" w:rsidRPr="009549EF" w:rsidRDefault="0024051E" w:rsidP="00D75F90">
            <w:pPr>
              <w:pStyle w:val="BodyText"/>
              <w:rPr>
                <w:b/>
                <w:bCs/>
                <w:color w:val="FFFFFF"/>
              </w:rPr>
            </w:pPr>
          </w:p>
        </w:tc>
        <w:tc>
          <w:tcPr>
            <w:tcW w:w="1984" w:type="dxa"/>
            <w:tcBorders>
              <w:top w:val="single" w:sz="4" w:space="0" w:color="000000"/>
              <w:left w:val="nil"/>
              <w:bottom w:val="single" w:sz="4" w:space="0" w:color="000000"/>
              <w:right w:val="nil"/>
            </w:tcBorders>
            <w:shd w:val="clear" w:color="auto" w:fill="000000"/>
          </w:tcPr>
          <w:p w:rsidR="0024051E" w:rsidRPr="009549EF" w:rsidRDefault="0024051E" w:rsidP="00D75F90">
            <w:pPr>
              <w:pStyle w:val="BodyText"/>
              <w:rPr>
                <w:b/>
                <w:bCs/>
                <w:color w:val="FFFFFF"/>
              </w:rPr>
            </w:pPr>
          </w:p>
        </w:tc>
        <w:tc>
          <w:tcPr>
            <w:tcW w:w="2155" w:type="dxa"/>
            <w:gridSpan w:val="2"/>
            <w:tcBorders>
              <w:top w:val="single" w:sz="4" w:space="0" w:color="000000"/>
              <w:left w:val="nil"/>
              <w:bottom w:val="single" w:sz="4" w:space="0" w:color="000000"/>
              <w:right w:val="nil"/>
            </w:tcBorders>
            <w:shd w:val="clear" w:color="auto" w:fill="000000"/>
          </w:tcPr>
          <w:p w:rsidR="0024051E" w:rsidRPr="009549EF" w:rsidRDefault="0024051E" w:rsidP="00D75F90">
            <w:pPr>
              <w:pStyle w:val="BodyText"/>
              <w:rPr>
                <w:b/>
                <w:bCs/>
                <w:color w:val="FFFFFF"/>
              </w:rPr>
            </w:pPr>
            <w:r w:rsidRPr="009549EF">
              <w:rPr>
                <w:b/>
                <w:bCs/>
                <w:color w:val="FFFFFF"/>
              </w:rPr>
              <w:t>All employees</w:t>
            </w:r>
          </w:p>
        </w:tc>
        <w:tc>
          <w:tcPr>
            <w:tcW w:w="2154" w:type="dxa"/>
            <w:gridSpan w:val="2"/>
            <w:tcBorders>
              <w:top w:val="single" w:sz="4" w:space="0" w:color="000000"/>
              <w:left w:val="nil"/>
              <w:bottom w:val="single" w:sz="4" w:space="0" w:color="000000"/>
              <w:right w:val="nil"/>
            </w:tcBorders>
            <w:shd w:val="clear" w:color="auto" w:fill="000000"/>
          </w:tcPr>
          <w:p w:rsidR="0024051E" w:rsidRPr="009549EF" w:rsidRDefault="0024051E" w:rsidP="00D75F90">
            <w:pPr>
              <w:pStyle w:val="BodyText"/>
              <w:rPr>
                <w:b/>
                <w:bCs/>
                <w:color w:val="FFFFFF"/>
              </w:rPr>
            </w:pPr>
            <w:r w:rsidRPr="009549EF">
              <w:rPr>
                <w:b/>
                <w:bCs/>
                <w:color w:val="FFFFFF"/>
              </w:rPr>
              <w:t>Ongoing</w:t>
            </w:r>
          </w:p>
        </w:tc>
        <w:tc>
          <w:tcPr>
            <w:tcW w:w="2560" w:type="dxa"/>
            <w:gridSpan w:val="2"/>
            <w:tcBorders>
              <w:top w:val="single" w:sz="4" w:space="0" w:color="000000"/>
              <w:left w:val="nil"/>
              <w:bottom w:val="single" w:sz="4" w:space="0" w:color="000000"/>
              <w:right w:val="single" w:sz="4" w:space="0" w:color="000000"/>
            </w:tcBorders>
            <w:shd w:val="clear" w:color="auto" w:fill="000000"/>
          </w:tcPr>
          <w:p w:rsidR="0024051E" w:rsidRPr="009549EF" w:rsidRDefault="0024051E" w:rsidP="00D75F90">
            <w:pPr>
              <w:pStyle w:val="BodyText"/>
              <w:rPr>
                <w:b/>
                <w:bCs/>
                <w:color w:val="FFFFFF"/>
              </w:rPr>
            </w:pPr>
            <w:r w:rsidRPr="009549EF">
              <w:rPr>
                <w:b/>
                <w:bCs/>
                <w:color w:val="FFFFFF"/>
              </w:rPr>
              <w:t>Fixed term and casual</w:t>
            </w:r>
          </w:p>
        </w:tc>
      </w:tr>
      <w:tr w:rsidR="009549EF" w:rsidRPr="009549EF" w:rsidTr="00C30441">
        <w:trPr>
          <w:trHeight w:hRule="exact" w:val="538"/>
        </w:trPr>
        <w:tc>
          <w:tcPr>
            <w:tcW w:w="538" w:type="dxa"/>
            <w:vMerge/>
            <w:shd w:val="clear" w:color="auto" w:fill="CCCCCC"/>
          </w:tcPr>
          <w:p w:rsidR="0024051E" w:rsidRDefault="0024051E" w:rsidP="00D75F90">
            <w:pPr>
              <w:pStyle w:val="BodyText"/>
            </w:pPr>
          </w:p>
        </w:tc>
        <w:tc>
          <w:tcPr>
            <w:tcW w:w="1984" w:type="dxa"/>
            <w:shd w:val="clear" w:color="auto" w:fill="FFFFFF" w:themeFill="background1"/>
          </w:tcPr>
          <w:p w:rsidR="0024051E" w:rsidRDefault="0024051E" w:rsidP="00D75F90">
            <w:pPr>
              <w:pStyle w:val="BodyText"/>
            </w:pPr>
            <w:r>
              <w:t>Headcount</w:t>
            </w:r>
          </w:p>
        </w:tc>
        <w:tc>
          <w:tcPr>
            <w:tcW w:w="1418" w:type="dxa"/>
            <w:shd w:val="clear" w:color="auto" w:fill="FFFFFF" w:themeFill="background1"/>
          </w:tcPr>
          <w:p w:rsidR="0024051E" w:rsidRDefault="0024051E" w:rsidP="00D75F90">
            <w:pPr>
              <w:pStyle w:val="BodyText"/>
            </w:pPr>
            <w:r>
              <w:t>Headcount</w:t>
            </w:r>
          </w:p>
        </w:tc>
        <w:tc>
          <w:tcPr>
            <w:tcW w:w="737" w:type="dxa"/>
            <w:shd w:val="clear" w:color="auto" w:fill="FFFFFF" w:themeFill="background1"/>
          </w:tcPr>
          <w:p w:rsidR="0024051E" w:rsidRDefault="0024051E" w:rsidP="00D75F90">
            <w:pPr>
              <w:pStyle w:val="BodyText"/>
            </w:pPr>
            <w:r>
              <w:t>FTE</w:t>
            </w:r>
          </w:p>
        </w:tc>
        <w:tc>
          <w:tcPr>
            <w:tcW w:w="1417" w:type="dxa"/>
            <w:shd w:val="clear" w:color="auto" w:fill="FFFFFF" w:themeFill="background1"/>
          </w:tcPr>
          <w:p w:rsidR="0024051E" w:rsidRDefault="0024051E" w:rsidP="00D75F90">
            <w:pPr>
              <w:pStyle w:val="BodyText"/>
            </w:pPr>
            <w:r>
              <w:t>Headcount</w:t>
            </w:r>
          </w:p>
        </w:tc>
        <w:tc>
          <w:tcPr>
            <w:tcW w:w="737" w:type="dxa"/>
            <w:shd w:val="clear" w:color="auto" w:fill="FFFFFF" w:themeFill="background1"/>
          </w:tcPr>
          <w:p w:rsidR="0024051E" w:rsidRDefault="0024051E" w:rsidP="00D75F90">
            <w:pPr>
              <w:pStyle w:val="BodyText"/>
            </w:pPr>
            <w:r>
              <w:t>FTE</w:t>
            </w:r>
          </w:p>
        </w:tc>
        <w:tc>
          <w:tcPr>
            <w:tcW w:w="1417" w:type="dxa"/>
            <w:shd w:val="clear" w:color="auto" w:fill="FFFFFF" w:themeFill="background1"/>
          </w:tcPr>
          <w:p w:rsidR="0024051E" w:rsidRDefault="0024051E" w:rsidP="00D75F90">
            <w:pPr>
              <w:pStyle w:val="BodyText"/>
            </w:pPr>
            <w:r>
              <w:t>Headcount</w:t>
            </w:r>
          </w:p>
        </w:tc>
        <w:tc>
          <w:tcPr>
            <w:tcW w:w="1143" w:type="dxa"/>
            <w:shd w:val="clear" w:color="auto" w:fill="FFFFFF" w:themeFill="background1"/>
          </w:tcPr>
          <w:p w:rsidR="0024051E" w:rsidRDefault="0024051E" w:rsidP="00D75F90">
            <w:pPr>
              <w:pStyle w:val="BodyText"/>
            </w:pPr>
            <w:r>
              <w:t>FTE</w:t>
            </w:r>
          </w:p>
        </w:tc>
      </w:tr>
      <w:tr w:rsidR="009549EF" w:rsidRPr="009549EF" w:rsidTr="00C30441">
        <w:trPr>
          <w:trHeight w:hRule="exact" w:val="396"/>
        </w:trPr>
        <w:tc>
          <w:tcPr>
            <w:tcW w:w="538" w:type="dxa"/>
            <w:vMerge w:val="restart"/>
            <w:shd w:val="clear" w:color="auto" w:fill="FFFFFF" w:themeFill="background1"/>
            <w:textDirection w:val="btLr"/>
          </w:tcPr>
          <w:p w:rsidR="0024051E" w:rsidRDefault="0024051E" w:rsidP="00D75F90">
            <w:pPr>
              <w:pStyle w:val="BodyText"/>
            </w:pPr>
            <w:r>
              <w:t>Demographic data</w:t>
            </w:r>
          </w:p>
        </w:tc>
        <w:tc>
          <w:tcPr>
            <w:tcW w:w="8853" w:type="dxa"/>
            <w:gridSpan w:val="7"/>
            <w:shd w:val="clear" w:color="auto" w:fill="FFFFFF" w:themeFill="background1"/>
          </w:tcPr>
          <w:p w:rsidR="0024051E" w:rsidRPr="007063DF" w:rsidRDefault="0024051E" w:rsidP="00D75F90">
            <w:pPr>
              <w:pStyle w:val="BodyText"/>
              <w:rPr>
                <w:rStyle w:val="Characterbold"/>
                <w:lang w:eastAsia="en-US"/>
              </w:rPr>
            </w:pPr>
            <w:r w:rsidRPr="007063DF">
              <w:rPr>
                <w:rStyle w:val="Characterbold"/>
                <w:lang w:eastAsia="en-US"/>
              </w:rPr>
              <w:t>Gender</w:t>
            </w:r>
          </w:p>
        </w:tc>
      </w:tr>
      <w:tr w:rsidR="009549EF" w:rsidRPr="009549EF" w:rsidTr="00C30441">
        <w:trPr>
          <w:trHeight w:hRule="exact" w:val="396"/>
        </w:trPr>
        <w:tc>
          <w:tcPr>
            <w:tcW w:w="538" w:type="dxa"/>
            <w:vMerge/>
            <w:shd w:val="clear" w:color="auto" w:fill="FFFFFF" w:themeFill="background1"/>
          </w:tcPr>
          <w:p w:rsidR="0024051E" w:rsidRDefault="0024051E" w:rsidP="00D75F90">
            <w:pPr>
              <w:pStyle w:val="BodyText"/>
            </w:pPr>
          </w:p>
        </w:tc>
        <w:tc>
          <w:tcPr>
            <w:tcW w:w="1984" w:type="dxa"/>
            <w:shd w:val="clear" w:color="auto" w:fill="FFFFFF" w:themeFill="background1"/>
          </w:tcPr>
          <w:p w:rsidR="0024051E" w:rsidRDefault="0024051E" w:rsidP="00D75F90">
            <w:pPr>
              <w:pStyle w:val="BodyText"/>
            </w:pPr>
            <w:r>
              <w:t>Male</w:t>
            </w:r>
          </w:p>
        </w:tc>
        <w:tc>
          <w:tcPr>
            <w:tcW w:w="1418" w:type="dxa"/>
            <w:shd w:val="clear" w:color="auto" w:fill="FFFFFF" w:themeFill="background1"/>
          </w:tcPr>
          <w:p w:rsidR="0024051E" w:rsidRDefault="0024051E" w:rsidP="00D75F90">
            <w:pPr>
              <w:pStyle w:val="BodyText"/>
            </w:pPr>
            <w:r>
              <w:t>12</w:t>
            </w:r>
          </w:p>
        </w:tc>
        <w:tc>
          <w:tcPr>
            <w:tcW w:w="737" w:type="dxa"/>
            <w:shd w:val="clear" w:color="auto" w:fill="FFFFFF" w:themeFill="background1"/>
          </w:tcPr>
          <w:p w:rsidR="0024051E" w:rsidRDefault="0024051E" w:rsidP="00D75F90">
            <w:pPr>
              <w:pStyle w:val="BodyText"/>
            </w:pPr>
            <w:r>
              <w:t>11.4</w:t>
            </w:r>
          </w:p>
        </w:tc>
        <w:tc>
          <w:tcPr>
            <w:tcW w:w="1417" w:type="dxa"/>
            <w:shd w:val="clear" w:color="auto" w:fill="FFFFFF" w:themeFill="background1"/>
          </w:tcPr>
          <w:p w:rsidR="0024051E" w:rsidRDefault="0024051E" w:rsidP="00D75F90">
            <w:pPr>
              <w:pStyle w:val="BodyText"/>
            </w:pPr>
            <w:r>
              <w:t>8</w:t>
            </w:r>
          </w:p>
        </w:tc>
        <w:tc>
          <w:tcPr>
            <w:tcW w:w="737" w:type="dxa"/>
            <w:shd w:val="clear" w:color="auto" w:fill="FFFFFF" w:themeFill="background1"/>
          </w:tcPr>
          <w:p w:rsidR="0024051E" w:rsidRDefault="0024051E" w:rsidP="00D75F90">
            <w:pPr>
              <w:pStyle w:val="BodyText"/>
            </w:pPr>
            <w:r>
              <w:t>8</w:t>
            </w:r>
          </w:p>
        </w:tc>
        <w:tc>
          <w:tcPr>
            <w:tcW w:w="1417" w:type="dxa"/>
            <w:shd w:val="clear" w:color="auto" w:fill="FFFFFF" w:themeFill="background1"/>
          </w:tcPr>
          <w:p w:rsidR="0024051E" w:rsidRDefault="0024051E" w:rsidP="00D75F90">
            <w:pPr>
              <w:pStyle w:val="BodyText"/>
            </w:pPr>
            <w:r>
              <w:t>4</w:t>
            </w:r>
          </w:p>
        </w:tc>
        <w:tc>
          <w:tcPr>
            <w:tcW w:w="1143" w:type="dxa"/>
            <w:shd w:val="clear" w:color="auto" w:fill="FFFFFF" w:themeFill="background1"/>
          </w:tcPr>
          <w:p w:rsidR="0024051E" w:rsidRDefault="0024051E" w:rsidP="00D75F90">
            <w:pPr>
              <w:pStyle w:val="BodyText"/>
            </w:pPr>
            <w:r>
              <w:t>3.4</w:t>
            </w:r>
          </w:p>
        </w:tc>
      </w:tr>
      <w:tr w:rsidR="009549EF" w:rsidRPr="009549EF" w:rsidTr="00C30441">
        <w:trPr>
          <w:trHeight w:hRule="exact" w:val="396"/>
        </w:trPr>
        <w:tc>
          <w:tcPr>
            <w:tcW w:w="538" w:type="dxa"/>
            <w:vMerge/>
            <w:shd w:val="clear" w:color="auto" w:fill="FFFFFF" w:themeFill="background1"/>
          </w:tcPr>
          <w:p w:rsidR="0024051E" w:rsidRDefault="0024051E" w:rsidP="00D75F90">
            <w:pPr>
              <w:pStyle w:val="BodyText"/>
            </w:pPr>
          </w:p>
        </w:tc>
        <w:tc>
          <w:tcPr>
            <w:tcW w:w="1984" w:type="dxa"/>
            <w:shd w:val="clear" w:color="auto" w:fill="FFFFFF" w:themeFill="background1"/>
          </w:tcPr>
          <w:p w:rsidR="0024051E" w:rsidRDefault="0024051E" w:rsidP="00D75F90">
            <w:pPr>
              <w:pStyle w:val="BodyText"/>
            </w:pPr>
            <w:r>
              <w:t>Female</w:t>
            </w:r>
          </w:p>
        </w:tc>
        <w:tc>
          <w:tcPr>
            <w:tcW w:w="1418" w:type="dxa"/>
            <w:shd w:val="clear" w:color="auto" w:fill="FFFFFF" w:themeFill="background1"/>
          </w:tcPr>
          <w:p w:rsidR="0024051E" w:rsidRDefault="0024051E" w:rsidP="00D75F90">
            <w:pPr>
              <w:pStyle w:val="BodyText"/>
            </w:pPr>
            <w:r>
              <w:t>44</w:t>
            </w:r>
          </w:p>
        </w:tc>
        <w:tc>
          <w:tcPr>
            <w:tcW w:w="737" w:type="dxa"/>
            <w:shd w:val="clear" w:color="auto" w:fill="FFFFFF" w:themeFill="background1"/>
          </w:tcPr>
          <w:p w:rsidR="0024051E" w:rsidRDefault="0024051E" w:rsidP="00D75F90">
            <w:pPr>
              <w:pStyle w:val="BodyText"/>
            </w:pPr>
            <w:r>
              <w:t>40.3</w:t>
            </w:r>
          </w:p>
        </w:tc>
        <w:tc>
          <w:tcPr>
            <w:tcW w:w="1417" w:type="dxa"/>
            <w:shd w:val="clear" w:color="auto" w:fill="FFFFFF" w:themeFill="background1"/>
          </w:tcPr>
          <w:p w:rsidR="0024051E" w:rsidRDefault="0024051E" w:rsidP="00D75F90">
            <w:pPr>
              <w:pStyle w:val="BodyText"/>
            </w:pPr>
            <w:r>
              <w:t>32</w:t>
            </w:r>
          </w:p>
        </w:tc>
        <w:tc>
          <w:tcPr>
            <w:tcW w:w="737" w:type="dxa"/>
            <w:shd w:val="clear" w:color="auto" w:fill="FFFFFF" w:themeFill="background1"/>
          </w:tcPr>
          <w:p w:rsidR="0024051E" w:rsidRDefault="0024051E" w:rsidP="00D75F90">
            <w:pPr>
              <w:pStyle w:val="BodyText"/>
            </w:pPr>
            <w:r>
              <w:t>29.1</w:t>
            </w:r>
          </w:p>
        </w:tc>
        <w:tc>
          <w:tcPr>
            <w:tcW w:w="1417" w:type="dxa"/>
            <w:shd w:val="clear" w:color="auto" w:fill="FFFFFF" w:themeFill="background1"/>
          </w:tcPr>
          <w:p w:rsidR="0024051E" w:rsidRDefault="0024051E" w:rsidP="00D75F90">
            <w:pPr>
              <w:pStyle w:val="BodyText"/>
            </w:pPr>
            <w:r>
              <w:t>12</w:t>
            </w:r>
          </w:p>
        </w:tc>
        <w:tc>
          <w:tcPr>
            <w:tcW w:w="1143" w:type="dxa"/>
            <w:shd w:val="clear" w:color="auto" w:fill="FFFFFF" w:themeFill="background1"/>
          </w:tcPr>
          <w:p w:rsidR="0024051E" w:rsidRDefault="0024051E" w:rsidP="00D75F90">
            <w:pPr>
              <w:pStyle w:val="BodyText"/>
            </w:pPr>
            <w:r>
              <w:t>11.2</w:t>
            </w:r>
          </w:p>
        </w:tc>
      </w:tr>
      <w:tr w:rsidR="009549EF" w:rsidRPr="009549EF" w:rsidTr="00C30441">
        <w:trPr>
          <w:trHeight w:hRule="exact" w:val="396"/>
        </w:trPr>
        <w:tc>
          <w:tcPr>
            <w:tcW w:w="538" w:type="dxa"/>
            <w:vMerge/>
            <w:shd w:val="clear" w:color="auto" w:fill="FFFFFF" w:themeFill="background1"/>
          </w:tcPr>
          <w:p w:rsidR="0024051E" w:rsidRDefault="0024051E" w:rsidP="00D75F90">
            <w:pPr>
              <w:pStyle w:val="BodyText"/>
            </w:pPr>
          </w:p>
        </w:tc>
        <w:tc>
          <w:tcPr>
            <w:tcW w:w="1984" w:type="dxa"/>
            <w:shd w:val="clear" w:color="auto" w:fill="FFFFFF" w:themeFill="background1"/>
          </w:tcPr>
          <w:p w:rsidR="0024051E" w:rsidRDefault="0024051E" w:rsidP="00D75F90">
            <w:pPr>
              <w:pStyle w:val="BodyText"/>
            </w:pPr>
            <w:r>
              <w:t>Self described</w:t>
            </w:r>
          </w:p>
        </w:tc>
        <w:tc>
          <w:tcPr>
            <w:tcW w:w="1418" w:type="dxa"/>
            <w:shd w:val="clear" w:color="auto" w:fill="FFFFFF" w:themeFill="background1"/>
          </w:tcPr>
          <w:p w:rsidR="0024051E" w:rsidRDefault="0024051E" w:rsidP="00D75F90">
            <w:pPr>
              <w:pStyle w:val="BodyText"/>
            </w:pPr>
            <w:r>
              <w:t>0</w:t>
            </w:r>
          </w:p>
        </w:tc>
        <w:tc>
          <w:tcPr>
            <w:tcW w:w="737" w:type="dxa"/>
            <w:shd w:val="clear" w:color="auto" w:fill="FFFFFF" w:themeFill="background1"/>
          </w:tcPr>
          <w:p w:rsidR="0024051E" w:rsidRDefault="0024051E" w:rsidP="00D75F90">
            <w:pPr>
              <w:pStyle w:val="BodyText"/>
            </w:pPr>
            <w:r>
              <w:t>0</w:t>
            </w:r>
          </w:p>
        </w:tc>
        <w:tc>
          <w:tcPr>
            <w:tcW w:w="1417" w:type="dxa"/>
            <w:shd w:val="clear" w:color="auto" w:fill="FFFFFF" w:themeFill="background1"/>
          </w:tcPr>
          <w:p w:rsidR="0024051E" w:rsidRDefault="0024051E" w:rsidP="00D75F90">
            <w:pPr>
              <w:pStyle w:val="BodyText"/>
            </w:pPr>
            <w:r>
              <w:t>0</w:t>
            </w:r>
          </w:p>
        </w:tc>
        <w:tc>
          <w:tcPr>
            <w:tcW w:w="737" w:type="dxa"/>
            <w:shd w:val="clear" w:color="auto" w:fill="FFFFFF" w:themeFill="background1"/>
          </w:tcPr>
          <w:p w:rsidR="0024051E" w:rsidRDefault="0024051E" w:rsidP="00D75F90">
            <w:pPr>
              <w:pStyle w:val="BodyText"/>
            </w:pPr>
            <w:r>
              <w:t>0</w:t>
            </w:r>
          </w:p>
        </w:tc>
        <w:tc>
          <w:tcPr>
            <w:tcW w:w="1417" w:type="dxa"/>
            <w:shd w:val="clear" w:color="auto" w:fill="FFFFFF" w:themeFill="background1"/>
          </w:tcPr>
          <w:p w:rsidR="0024051E" w:rsidRDefault="0024051E" w:rsidP="00D75F90">
            <w:pPr>
              <w:pStyle w:val="BodyText"/>
            </w:pPr>
            <w:r>
              <w:t>0</w:t>
            </w:r>
          </w:p>
        </w:tc>
        <w:tc>
          <w:tcPr>
            <w:tcW w:w="1143" w:type="dxa"/>
            <w:shd w:val="clear" w:color="auto" w:fill="FFFFFF" w:themeFill="background1"/>
          </w:tcPr>
          <w:p w:rsidR="0024051E" w:rsidRDefault="0024051E" w:rsidP="00D75F90">
            <w:pPr>
              <w:pStyle w:val="BodyText"/>
            </w:pPr>
            <w:r>
              <w:t>0</w:t>
            </w:r>
          </w:p>
        </w:tc>
      </w:tr>
      <w:tr w:rsidR="009549EF" w:rsidRPr="009549EF" w:rsidTr="00C30441">
        <w:trPr>
          <w:trHeight w:hRule="exact" w:val="396"/>
        </w:trPr>
        <w:tc>
          <w:tcPr>
            <w:tcW w:w="538" w:type="dxa"/>
            <w:vMerge/>
            <w:shd w:val="clear" w:color="auto" w:fill="FFFFFF" w:themeFill="background1"/>
          </w:tcPr>
          <w:p w:rsidR="0024051E" w:rsidRDefault="0024051E" w:rsidP="00D75F90">
            <w:pPr>
              <w:pStyle w:val="BodyText"/>
            </w:pPr>
          </w:p>
        </w:tc>
        <w:tc>
          <w:tcPr>
            <w:tcW w:w="8853" w:type="dxa"/>
            <w:gridSpan w:val="7"/>
            <w:shd w:val="clear" w:color="auto" w:fill="FFFFFF" w:themeFill="background1"/>
          </w:tcPr>
          <w:p w:rsidR="0024051E" w:rsidRPr="007063DF" w:rsidRDefault="0024051E" w:rsidP="00D75F90">
            <w:pPr>
              <w:pStyle w:val="BodyText"/>
              <w:rPr>
                <w:rStyle w:val="Characterbold"/>
                <w:lang w:eastAsia="en-US"/>
              </w:rPr>
            </w:pPr>
            <w:r w:rsidRPr="007063DF">
              <w:rPr>
                <w:rStyle w:val="Characterbold"/>
                <w:lang w:eastAsia="en-US"/>
              </w:rPr>
              <w:t>Age</w:t>
            </w:r>
          </w:p>
        </w:tc>
      </w:tr>
      <w:tr w:rsidR="009549EF" w:rsidRPr="009549EF" w:rsidTr="00C30441">
        <w:trPr>
          <w:trHeight w:hRule="exact" w:val="396"/>
        </w:trPr>
        <w:tc>
          <w:tcPr>
            <w:tcW w:w="538" w:type="dxa"/>
            <w:vMerge/>
            <w:shd w:val="clear" w:color="auto" w:fill="FFFFFF" w:themeFill="background1"/>
          </w:tcPr>
          <w:p w:rsidR="0024051E" w:rsidRDefault="0024051E" w:rsidP="00D75F90">
            <w:pPr>
              <w:pStyle w:val="BodyText"/>
            </w:pPr>
          </w:p>
        </w:tc>
        <w:tc>
          <w:tcPr>
            <w:tcW w:w="1984" w:type="dxa"/>
            <w:shd w:val="clear" w:color="auto" w:fill="FFFFFF" w:themeFill="background1"/>
          </w:tcPr>
          <w:p w:rsidR="0024051E" w:rsidRDefault="0024051E" w:rsidP="00D75F90">
            <w:pPr>
              <w:pStyle w:val="BodyText"/>
            </w:pPr>
            <w:r>
              <w:t>Under 25</w:t>
            </w:r>
          </w:p>
        </w:tc>
        <w:tc>
          <w:tcPr>
            <w:tcW w:w="1418" w:type="dxa"/>
            <w:shd w:val="clear" w:color="auto" w:fill="FFFFFF" w:themeFill="background1"/>
          </w:tcPr>
          <w:p w:rsidR="0024051E" w:rsidRDefault="0024051E" w:rsidP="00D75F90">
            <w:pPr>
              <w:pStyle w:val="BodyText"/>
            </w:pPr>
            <w:r>
              <w:t>0</w:t>
            </w:r>
          </w:p>
        </w:tc>
        <w:tc>
          <w:tcPr>
            <w:tcW w:w="737" w:type="dxa"/>
            <w:shd w:val="clear" w:color="auto" w:fill="FFFFFF" w:themeFill="background1"/>
          </w:tcPr>
          <w:p w:rsidR="0024051E" w:rsidRDefault="0024051E" w:rsidP="00D75F90">
            <w:pPr>
              <w:pStyle w:val="BodyText"/>
            </w:pPr>
            <w:r>
              <w:t>0.0</w:t>
            </w:r>
          </w:p>
        </w:tc>
        <w:tc>
          <w:tcPr>
            <w:tcW w:w="1417" w:type="dxa"/>
            <w:shd w:val="clear" w:color="auto" w:fill="FFFFFF" w:themeFill="background1"/>
          </w:tcPr>
          <w:p w:rsidR="0024051E" w:rsidRDefault="0024051E" w:rsidP="00D75F90">
            <w:pPr>
              <w:pStyle w:val="BodyText"/>
            </w:pPr>
            <w:r>
              <w:t>0</w:t>
            </w:r>
          </w:p>
        </w:tc>
        <w:tc>
          <w:tcPr>
            <w:tcW w:w="737" w:type="dxa"/>
            <w:shd w:val="clear" w:color="auto" w:fill="FFFFFF" w:themeFill="background1"/>
          </w:tcPr>
          <w:p w:rsidR="0024051E" w:rsidRDefault="0024051E" w:rsidP="00D75F90">
            <w:pPr>
              <w:pStyle w:val="BodyText"/>
            </w:pPr>
            <w:r>
              <w:t>0</w:t>
            </w:r>
          </w:p>
        </w:tc>
        <w:tc>
          <w:tcPr>
            <w:tcW w:w="1417" w:type="dxa"/>
            <w:shd w:val="clear" w:color="auto" w:fill="FFFFFF" w:themeFill="background1"/>
          </w:tcPr>
          <w:p w:rsidR="0024051E" w:rsidRDefault="0024051E" w:rsidP="00D75F90">
            <w:pPr>
              <w:pStyle w:val="BodyText"/>
            </w:pPr>
            <w:r>
              <w:t>1</w:t>
            </w:r>
          </w:p>
        </w:tc>
        <w:tc>
          <w:tcPr>
            <w:tcW w:w="1143" w:type="dxa"/>
            <w:shd w:val="clear" w:color="auto" w:fill="FFFFFF" w:themeFill="background1"/>
          </w:tcPr>
          <w:p w:rsidR="0024051E" w:rsidRDefault="0024051E" w:rsidP="00D75F90">
            <w:pPr>
              <w:pStyle w:val="BodyText"/>
            </w:pPr>
            <w:r>
              <w:t>0.0</w:t>
            </w:r>
          </w:p>
        </w:tc>
      </w:tr>
      <w:tr w:rsidR="009549EF" w:rsidRPr="009549EF" w:rsidTr="00C30441">
        <w:trPr>
          <w:trHeight w:hRule="exact" w:val="396"/>
        </w:trPr>
        <w:tc>
          <w:tcPr>
            <w:tcW w:w="538" w:type="dxa"/>
            <w:vMerge/>
            <w:shd w:val="clear" w:color="auto" w:fill="FFFFFF" w:themeFill="background1"/>
          </w:tcPr>
          <w:p w:rsidR="0024051E" w:rsidRDefault="0024051E" w:rsidP="00D75F90">
            <w:pPr>
              <w:pStyle w:val="BodyText"/>
            </w:pPr>
          </w:p>
        </w:tc>
        <w:tc>
          <w:tcPr>
            <w:tcW w:w="1984" w:type="dxa"/>
            <w:shd w:val="clear" w:color="auto" w:fill="FFFFFF" w:themeFill="background1"/>
          </w:tcPr>
          <w:p w:rsidR="0024051E" w:rsidRDefault="0024051E" w:rsidP="00D75F90">
            <w:pPr>
              <w:pStyle w:val="BodyText"/>
            </w:pPr>
            <w:r>
              <w:t>25-34</w:t>
            </w:r>
          </w:p>
        </w:tc>
        <w:tc>
          <w:tcPr>
            <w:tcW w:w="1418" w:type="dxa"/>
            <w:shd w:val="clear" w:color="auto" w:fill="FFFFFF" w:themeFill="background1"/>
          </w:tcPr>
          <w:p w:rsidR="0024051E" w:rsidRDefault="0024051E" w:rsidP="00D75F90">
            <w:pPr>
              <w:pStyle w:val="BodyText"/>
            </w:pPr>
            <w:r>
              <w:t>17</w:t>
            </w:r>
          </w:p>
        </w:tc>
        <w:tc>
          <w:tcPr>
            <w:tcW w:w="737" w:type="dxa"/>
            <w:shd w:val="clear" w:color="auto" w:fill="FFFFFF" w:themeFill="background1"/>
          </w:tcPr>
          <w:p w:rsidR="0024051E" w:rsidRDefault="0024051E" w:rsidP="00D75F90">
            <w:pPr>
              <w:pStyle w:val="BodyText"/>
            </w:pPr>
            <w:r>
              <w:t>16.1</w:t>
            </w:r>
          </w:p>
        </w:tc>
        <w:tc>
          <w:tcPr>
            <w:tcW w:w="1417" w:type="dxa"/>
            <w:shd w:val="clear" w:color="auto" w:fill="FFFFFF" w:themeFill="background1"/>
          </w:tcPr>
          <w:p w:rsidR="0024051E" w:rsidRDefault="0024051E" w:rsidP="00D75F90">
            <w:pPr>
              <w:pStyle w:val="BodyText"/>
            </w:pPr>
            <w:r>
              <w:t>11</w:t>
            </w:r>
          </w:p>
        </w:tc>
        <w:tc>
          <w:tcPr>
            <w:tcW w:w="737" w:type="dxa"/>
            <w:shd w:val="clear" w:color="auto" w:fill="FFFFFF" w:themeFill="background1"/>
          </w:tcPr>
          <w:p w:rsidR="0024051E" w:rsidRDefault="0024051E" w:rsidP="00D75F90">
            <w:pPr>
              <w:pStyle w:val="BodyText"/>
            </w:pPr>
            <w:r>
              <w:t>10.3</w:t>
            </w:r>
          </w:p>
        </w:tc>
        <w:tc>
          <w:tcPr>
            <w:tcW w:w="1417" w:type="dxa"/>
            <w:shd w:val="clear" w:color="auto" w:fill="FFFFFF" w:themeFill="background1"/>
          </w:tcPr>
          <w:p w:rsidR="0024051E" w:rsidRDefault="0024051E" w:rsidP="00D75F90">
            <w:pPr>
              <w:pStyle w:val="BodyText"/>
            </w:pPr>
            <w:r>
              <w:t>6</w:t>
            </w:r>
          </w:p>
        </w:tc>
        <w:tc>
          <w:tcPr>
            <w:tcW w:w="1143" w:type="dxa"/>
            <w:shd w:val="clear" w:color="auto" w:fill="FFFFFF" w:themeFill="background1"/>
          </w:tcPr>
          <w:p w:rsidR="0024051E" w:rsidRDefault="0024051E" w:rsidP="00D75F90">
            <w:pPr>
              <w:pStyle w:val="BodyText"/>
            </w:pPr>
            <w:r>
              <w:t>5.8</w:t>
            </w:r>
          </w:p>
        </w:tc>
      </w:tr>
      <w:tr w:rsidR="009549EF" w:rsidRPr="009549EF" w:rsidTr="00C30441">
        <w:trPr>
          <w:trHeight w:hRule="exact" w:val="396"/>
        </w:trPr>
        <w:tc>
          <w:tcPr>
            <w:tcW w:w="538" w:type="dxa"/>
            <w:vMerge/>
            <w:shd w:val="clear" w:color="auto" w:fill="FFFFFF" w:themeFill="background1"/>
          </w:tcPr>
          <w:p w:rsidR="0024051E" w:rsidRDefault="0024051E" w:rsidP="00D75F90">
            <w:pPr>
              <w:pStyle w:val="BodyText"/>
            </w:pPr>
          </w:p>
        </w:tc>
        <w:tc>
          <w:tcPr>
            <w:tcW w:w="1984" w:type="dxa"/>
            <w:shd w:val="clear" w:color="auto" w:fill="FFFFFF" w:themeFill="background1"/>
          </w:tcPr>
          <w:p w:rsidR="0024051E" w:rsidRDefault="0024051E" w:rsidP="00D75F90">
            <w:pPr>
              <w:pStyle w:val="BodyText"/>
            </w:pPr>
            <w:r>
              <w:t>35-44</w:t>
            </w:r>
          </w:p>
        </w:tc>
        <w:tc>
          <w:tcPr>
            <w:tcW w:w="1418" w:type="dxa"/>
            <w:shd w:val="clear" w:color="auto" w:fill="FFFFFF" w:themeFill="background1"/>
          </w:tcPr>
          <w:p w:rsidR="0024051E" w:rsidRDefault="0024051E" w:rsidP="00D75F90">
            <w:pPr>
              <w:pStyle w:val="BodyText"/>
            </w:pPr>
            <w:r>
              <w:t>19</w:t>
            </w:r>
          </w:p>
        </w:tc>
        <w:tc>
          <w:tcPr>
            <w:tcW w:w="737" w:type="dxa"/>
            <w:shd w:val="clear" w:color="auto" w:fill="FFFFFF" w:themeFill="background1"/>
          </w:tcPr>
          <w:p w:rsidR="0024051E" w:rsidRDefault="0024051E" w:rsidP="00D75F90">
            <w:pPr>
              <w:pStyle w:val="BodyText"/>
            </w:pPr>
            <w:r>
              <w:t>15.8</w:t>
            </w:r>
          </w:p>
        </w:tc>
        <w:tc>
          <w:tcPr>
            <w:tcW w:w="1417" w:type="dxa"/>
            <w:shd w:val="clear" w:color="auto" w:fill="FFFFFF" w:themeFill="background1"/>
          </w:tcPr>
          <w:p w:rsidR="0024051E" w:rsidRDefault="0024051E" w:rsidP="00D75F90">
            <w:pPr>
              <w:pStyle w:val="BodyText"/>
            </w:pPr>
            <w:r>
              <w:t>11</w:t>
            </w:r>
          </w:p>
        </w:tc>
        <w:tc>
          <w:tcPr>
            <w:tcW w:w="737" w:type="dxa"/>
            <w:shd w:val="clear" w:color="auto" w:fill="FFFFFF" w:themeFill="background1"/>
          </w:tcPr>
          <w:p w:rsidR="0024051E" w:rsidRDefault="0024051E" w:rsidP="00D75F90">
            <w:pPr>
              <w:pStyle w:val="BodyText"/>
            </w:pPr>
            <w:r>
              <w:t>8.8</w:t>
            </w:r>
          </w:p>
        </w:tc>
        <w:tc>
          <w:tcPr>
            <w:tcW w:w="1417" w:type="dxa"/>
            <w:shd w:val="clear" w:color="auto" w:fill="FFFFFF" w:themeFill="background1"/>
          </w:tcPr>
          <w:p w:rsidR="0024051E" w:rsidRDefault="0024051E" w:rsidP="00D75F90">
            <w:pPr>
              <w:pStyle w:val="BodyText"/>
            </w:pPr>
            <w:r>
              <w:t>8</w:t>
            </w:r>
          </w:p>
        </w:tc>
        <w:tc>
          <w:tcPr>
            <w:tcW w:w="1143" w:type="dxa"/>
            <w:shd w:val="clear" w:color="auto" w:fill="FFFFFF" w:themeFill="background1"/>
          </w:tcPr>
          <w:p w:rsidR="0024051E" w:rsidRDefault="0024051E" w:rsidP="00D75F90">
            <w:pPr>
              <w:pStyle w:val="BodyText"/>
            </w:pPr>
            <w:r>
              <w:t>7</w:t>
            </w:r>
          </w:p>
        </w:tc>
      </w:tr>
      <w:tr w:rsidR="009549EF" w:rsidRPr="009549EF" w:rsidTr="00C30441">
        <w:trPr>
          <w:trHeight w:hRule="exact" w:val="396"/>
        </w:trPr>
        <w:tc>
          <w:tcPr>
            <w:tcW w:w="538" w:type="dxa"/>
            <w:vMerge/>
            <w:shd w:val="clear" w:color="auto" w:fill="FFFFFF" w:themeFill="background1"/>
          </w:tcPr>
          <w:p w:rsidR="0024051E" w:rsidRDefault="0024051E" w:rsidP="00D75F90">
            <w:pPr>
              <w:pStyle w:val="BodyText"/>
            </w:pPr>
          </w:p>
        </w:tc>
        <w:tc>
          <w:tcPr>
            <w:tcW w:w="1984" w:type="dxa"/>
            <w:shd w:val="clear" w:color="auto" w:fill="FFFFFF" w:themeFill="background1"/>
          </w:tcPr>
          <w:p w:rsidR="0024051E" w:rsidRDefault="0024051E" w:rsidP="00D75F90">
            <w:pPr>
              <w:pStyle w:val="BodyText"/>
            </w:pPr>
            <w:r>
              <w:t>45-54</w:t>
            </w:r>
          </w:p>
        </w:tc>
        <w:tc>
          <w:tcPr>
            <w:tcW w:w="1418" w:type="dxa"/>
            <w:shd w:val="clear" w:color="auto" w:fill="FFFFFF" w:themeFill="background1"/>
          </w:tcPr>
          <w:p w:rsidR="0024051E" w:rsidRDefault="0024051E" w:rsidP="00D75F90">
            <w:pPr>
              <w:pStyle w:val="BodyText"/>
            </w:pPr>
            <w:r>
              <w:t>15</w:t>
            </w:r>
          </w:p>
        </w:tc>
        <w:tc>
          <w:tcPr>
            <w:tcW w:w="737" w:type="dxa"/>
            <w:shd w:val="clear" w:color="auto" w:fill="FFFFFF" w:themeFill="background1"/>
          </w:tcPr>
          <w:p w:rsidR="0024051E" w:rsidRDefault="0024051E" w:rsidP="00D75F90">
            <w:pPr>
              <w:pStyle w:val="BodyText"/>
            </w:pPr>
            <w:r>
              <w:t>15</w:t>
            </w:r>
          </w:p>
        </w:tc>
        <w:tc>
          <w:tcPr>
            <w:tcW w:w="1417" w:type="dxa"/>
            <w:shd w:val="clear" w:color="auto" w:fill="FFFFFF" w:themeFill="background1"/>
          </w:tcPr>
          <w:p w:rsidR="0024051E" w:rsidRDefault="0024051E" w:rsidP="00D75F90">
            <w:pPr>
              <w:pStyle w:val="BodyText"/>
            </w:pPr>
            <w:r>
              <w:t>14</w:t>
            </w:r>
          </w:p>
        </w:tc>
        <w:tc>
          <w:tcPr>
            <w:tcW w:w="737" w:type="dxa"/>
            <w:shd w:val="clear" w:color="auto" w:fill="FFFFFF" w:themeFill="background1"/>
          </w:tcPr>
          <w:p w:rsidR="0024051E" w:rsidRDefault="0024051E" w:rsidP="00D75F90">
            <w:pPr>
              <w:pStyle w:val="BodyText"/>
            </w:pPr>
            <w:r>
              <w:t>14</w:t>
            </w:r>
          </w:p>
        </w:tc>
        <w:tc>
          <w:tcPr>
            <w:tcW w:w="1417" w:type="dxa"/>
            <w:shd w:val="clear" w:color="auto" w:fill="FFFFFF" w:themeFill="background1"/>
          </w:tcPr>
          <w:p w:rsidR="0024051E" w:rsidRDefault="0024051E" w:rsidP="00D75F90">
            <w:pPr>
              <w:pStyle w:val="BodyText"/>
            </w:pPr>
            <w:r>
              <w:t>1</w:t>
            </w:r>
          </w:p>
        </w:tc>
        <w:tc>
          <w:tcPr>
            <w:tcW w:w="1143" w:type="dxa"/>
            <w:shd w:val="clear" w:color="auto" w:fill="FFFFFF" w:themeFill="background1"/>
          </w:tcPr>
          <w:p w:rsidR="0024051E" w:rsidRDefault="0024051E" w:rsidP="00D75F90">
            <w:pPr>
              <w:pStyle w:val="BodyText"/>
            </w:pPr>
            <w:r>
              <w:t>1</w:t>
            </w:r>
          </w:p>
        </w:tc>
      </w:tr>
      <w:tr w:rsidR="009549EF" w:rsidRPr="009549EF" w:rsidTr="00C30441">
        <w:trPr>
          <w:trHeight w:hRule="exact" w:val="396"/>
        </w:trPr>
        <w:tc>
          <w:tcPr>
            <w:tcW w:w="538" w:type="dxa"/>
            <w:vMerge/>
            <w:shd w:val="clear" w:color="auto" w:fill="FFFFFF" w:themeFill="background1"/>
          </w:tcPr>
          <w:p w:rsidR="0024051E" w:rsidRDefault="0024051E" w:rsidP="00D75F90">
            <w:pPr>
              <w:pStyle w:val="BodyText"/>
            </w:pPr>
          </w:p>
        </w:tc>
        <w:tc>
          <w:tcPr>
            <w:tcW w:w="1984" w:type="dxa"/>
            <w:shd w:val="clear" w:color="auto" w:fill="FFFFFF" w:themeFill="background1"/>
          </w:tcPr>
          <w:p w:rsidR="0024051E" w:rsidRDefault="0024051E" w:rsidP="00D75F90">
            <w:pPr>
              <w:pStyle w:val="BodyText"/>
            </w:pPr>
            <w:r>
              <w:t>55-64</w:t>
            </w:r>
          </w:p>
        </w:tc>
        <w:tc>
          <w:tcPr>
            <w:tcW w:w="1418" w:type="dxa"/>
            <w:shd w:val="clear" w:color="auto" w:fill="FFFFFF" w:themeFill="background1"/>
          </w:tcPr>
          <w:p w:rsidR="0024051E" w:rsidRDefault="0024051E" w:rsidP="00D75F90">
            <w:pPr>
              <w:pStyle w:val="BodyText"/>
            </w:pPr>
            <w:r>
              <w:t>4</w:t>
            </w:r>
          </w:p>
        </w:tc>
        <w:tc>
          <w:tcPr>
            <w:tcW w:w="737" w:type="dxa"/>
            <w:shd w:val="clear" w:color="auto" w:fill="FFFFFF" w:themeFill="background1"/>
          </w:tcPr>
          <w:p w:rsidR="0024051E" w:rsidRDefault="0024051E" w:rsidP="00D75F90">
            <w:pPr>
              <w:pStyle w:val="BodyText"/>
            </w:pPr>
            <w:r>
              <w:t>3.8</w:t>
            </w:r>
          </w:p>
        </w:tc>
        <w:tc>
          <w:tcPr>
            <w:tcW w:w="1417" w:type="dxa"/>
            <w:shd w:val="clear" w:color="auto" w:fill="FFFFFF" w:themeFill="background1"/>
          </w:tcPr>
          <w:p w:rsidR="0024051E" w:rsidRDefault="0024051E" w:rsidP="00D75F90">
            <w:pPr>
              <w:pStyle w:val="BodyText"/>
            </w:pPr>
            <w:r>
              <w:t>3</w:t>
            </w:r>
          </w:p>
        </w:tc>
        <w:tc>
          <w:tcPr>
            <w:tcW w:w="737" w:type="dxa"/>
            <w:shd w:val="clear" w:color="auto" w:fill="FFFFFF" w:themeFill="background1"/>
          </w:tcPr>
          <w:p w:rsidR="0024051E" w:rsidRDefault="0024051E" w:rsidP="00D75F90">
            <w:pPr>
              <w:pStyle w:val="BodyText"/>
            </w:pPr>
            <w:r>
              <w:t>3.0</w:t>
            </w:r>
          </w:p>
        </w:tc>
        <w:tc>
          <w:tcPr>
            <w:tcW w:w="1417" w:type="dxa"/>
            <w:shd w:val="clear" w:color="auto" w:fill="FFFFFF" w:themeFill="background1"/>
          </w:tcPr>
          <w:p w:rsidR="0024051E" w:rsidRDefault="0024051E" w:rsidP="00D75F90">
            <w:pPr>
              <w:pStyle w:val="BodyText"/>
            </w:pPr>
            <w:r>
              <w:t>1</w:t>
            </w:r>
          </w:p>
        </w:tc>
        <w:tc>
          <w:tcPr>
            <w:tcW w:w="1143" w:type="dxa"/>
            <w:shd w:val="clear" w:color="auto" w:fill="FFFFFF" w:themeFill="background1"/>
          </w:tcPr>
          <w:p w:rsidR="0024051E" w:rsidRDefault="0024051E" w:rsidP="00D75F90">
            <w:pPr>
              <w:pStyle w:val="BodyText"/>
            </w:pPr>
            <w:r>
              <w:t>0.8</w:t>
            </w:r>
          </w:p>
        </w:tc>
      </w:tr>
      <w:tr w:rsidR="009549EF" w:rsidRPr="009549EF" w:rsidTr="00C30441">
        <w:trPr>
          <w:trHeight w:hRule="exact" w:val="396"/>
        </w:trPr>
        <w:tc>
          <w:tcPr>
            <w:tcW w:w="538" w:type="dxa"/>
            <w:vMerge/>
            <w:shd w:val="clear" w:color="auto" w:fill="FFFFFF" w:themeFill="background1"/>
          </w:tcPr>
          <w:p w:rsidR="0024051E" w:rsidRDefault="0024051E" w:rsidP="00D75F90">
            <w:pPr>
              <w:pStyle w:val="BodyText"/>
            </w:pPr>
          </w:p>
        </w:tc>
        <w:tc>
          <w:tcPr>
            <w:tcW w:w="1984" w:type="dxa"/>
            <w:shd w:val="clear" w:color="auto" w:fill="FFFFFF" w:themeFill="background1"/>
          </w:tcPr>
          <w:p w:rsidR="0024051E" w:rsidRDefault="0024051E" w:rsidP="00D75F90">
            <w:pPr>
              <w:pStyle w:val="BodyText"/>
            </w:pPr>
            <w:r>
              <w:t>Over 64</w:t>
            </w:r>
          </w:p>
        </w:tc>
        <w:tc>
          <w:tcPr>
            <w:tcW w:w="1418" w:type="dxa"/>
            <w:shd w:val="clear" w:color="auto" w:fill="FFFFFF" w:themeFill="background1"/>
          </w:tcPr>
          <w:p w:rsidR="0024051E" w:rsidRDefault="0024051E" w:rsidP="00D75F90">
            <w:pPr>
              <w:pStyle w:val="BodyText"/>
            </w:pPr>
            <w:r>
              <w:t>1</w:t>
            </w:r>
          </w:p>
        </w:tc>
        <w:tc>
          <w:tcPr>
            <w:tcW w:w="737" w:type="dxa"/>
            <w:shd w:val="clear" w:color="auto" w:fill="FFFFFF" w:themeFill="background1"/>
          </w:tcPr>
          <w:p w:rsidR="0024051E" w:rsidRDefault="0024051E" w:rsidP="00D75F90">
            <w:pPr>
              <w:pStyle w:val="BodyText"/>
            </w:pPr>
            <w:r>
              <w:t>1.0</w:t>
            </w:r>
          </w:p>
        </w:tc>
        <w:tc>
          <w:tcPr>
            <w:tcW w:w="1417" w:type="dxa"/>
            <w:shd w:val="clear" w:color="auto" w:fill="FFFFFF" w:themeFill="background1"/>
          </w:tcPr>
          <w:p w:rsidR="0024051E" w:rsidRDefault="0024051E" w:rsidP="00D75F90">
            <w:pPr>
              <w:pStyle w:val="BodyText"/>
            </w:pPr>
            <w:r>
              <w:t>1</w:t>
            </w:r>
          </w:p>
        </w:tc>
        <w:tc>
          <w:tcPr>
            <w:tcW w:w="737" w:type="dxa"/>
            <w:shd w:val="clear" w:color="auto" w:fill="FFFFFF" w:themeFill="background1"/>
          </w:tcPr>
          <w:p w:rsidR="0024051E" w:rsidRDefault="0024051E" w:rsidP="00D75F90">
            <w:pPr>
              <w:pStyle w:val="BodyText"/>
            </w:pPr>
            <w:r>
              <w:t>1.0</w:t>
            </w:r>
          </w:p>
        </w:tc>
        <w:tc>
          <w:tcPr>
            <w:tcW w:w="1417" w:type="dxa"/>
            <w:shd w:val="clear" w:color="auto" w:fill="FFFFFF" w:themeFill="background1"/>
          </w:tcPr>
          <w:p w:rsidR="0024051E" w:rsidRDefault="0024051E" w:rsidP="00D75F90">
            <w:pPr>
              <w:pStyle w:val="BodyText"/>
            </w:pPr>
            <w:r>
              <w:t>0</w:t>
            </w:r>
          </w:p>
        </w:tc>
        <w:tc>
          <w:tcPr>
            <w:tcW w:w="1143" w:type="dxa"/>
            <w:shd w:val="clear" w:color="auto" w:fill="FFFFFF" w:themeFill="background1"/>
          </w:tcPr>
          <w:p w:rsidR="0024051E" w:rsidRDefault="0024051E" w:rsidP="00D75F90">
            <w:pPr>
              <w:pStyle w:val="BodyText"/>
            </w:pPr>
            <w:r>
              <w:t>0.0</w:t>
            </w:r>
          </w:p>
        </w:tc>
      </w:tr>
      <w:tr w:rsidR="0024051E" w:rsidRPr="009549EF" w:rsidTr="00C30441">
        <w:trPr>
          <w:trHeight w:hRule="exact" w:val="396"/>
        </w:trPr>
        <w:tc>
          <w:tcPr>
            <w:tcW w:w="538" w:type="dxa"/>
            <w:vMerge w:val="restart"/>
            <w:shd w:val="clear" w:color="auto" w:fill="FFFFFF" w:themeFill="background1"/>
            <w:textDirection w:val="btLr"/>
          </w:tcPr>
          <w:p w:rsidR="0024051E" w:rsidRDefault="0024051E" w:rsidP="00D75F90">
            <w:pPr>
              <w:pStyle w:val="BodyText"/>
            </w:pPr>
            <w:r>
              <w:t>Classification data</w:t>
            </w:r>
          </w:p>
        </w:tc>
        <w:tc>
          <w:tcPr>
            <w:tcW w:w="8853" w:type="dxa"/>
            <w:gridSpan w:val="7"/>
            <w:shd w:val="clear" w:color="auto" w:fill="FFFFFF" w:themeFill="background1"/>
          </w:tcPr>
          <w:p w:rsidR="0024051E" w:rsidRPr="007063DF" w:rsidRDefault="0024051E" w:rsidP="00D75F90">
            <w:pPr>
              <w:pStyle w:val="BodyText"/>
              <w:rPr>
                <w:rStyle w:val="Characterbold"/>
                <w:lang w:eastAsia="en-US"/>
              </w:rPr>
            </w:pPr>
            <w:r w:rsidRPr="007063DF">
              <w:rPr>
                <w:rStyle w:val="Characterbold"/>
                <w:lang w:eastAsia="en-US"/>
              </w:rPr>
              <w:t>Classification</w:t>
            </w:r>
          </w:p>
        </w:tc>
      </w:tr>
      <w:tr w:rsidR="009549EF" w:rsidRPr="009549EF" w:rsidTr="00C30441">
        <w:trPr>
          <w:trHeight w:hRule="exact" w:val="396"/>
        </w:trPr>
        <w:tc>
          <w:tcPr>
            <w:tcW w:w="538" w:type="dxa"/>
            <w:vMerge/>
            <w:shd w:val="clear" w:color="auto" w:fill="FFFFFF" w:themeFill="background1"/>
          </w:tcPr>
          <w:p w:rsidR="0024051E" w:rsidRDefault="0024051E" w:rsidP="00D75F90">
            <w:pPr>
              <w:pStyle w:val="BodyText"/>
            </w:pPr>
          </w:p>
        </w:tc>
        <w:tc>
          <w:tcPr>
            <w:tcW w:w="1984" w:type="dxa"/>
            <w:shd w:val="clear" w:color="auto" w:fill="FFFFFF" w:themeFill="background1"/>
          </w:tcPr>
          <w:p w:rsidR="0024051E" w:rsidRDefault="0024051E" w:rsidP="00D75F90">
            <w:pPr>
              <w:pStyle w:val="BodyText"/>
            </w:pPr>
            <w:r>
              <w:t>Executive Officers</w:t>
            </w:r>
          </w:p>
        </w:tc>
        <w:tc>
          <w:tcPr>
            <w:tcW w:w="1418" w:type="dxa"/>
            <w:shd w:val="clear" w:color="auto" w:fill="FFFFFF" w:themeFill="background1"/>
          </w:tcPr>
          <w:p w:rsidR="0024051E" w:rsidRDefault="0024051E" w:rsidP="00D75F90">
            <w:pPr>
              <w:pStyle w:val="BodyText"/>
            </w:pPr>
            <w:r>
              <w:t>1</w:t>
            </w:r>
          </w:p>
        </w:tc>
        <w:tc>
          <w:tcPr>
            <w:tcW w:w="737" w:type="dxa"/>
            <w:shd w:val="clear" w:color="auto" w:fill="FFFFFF" w:themeFill="background1"/>
          </w:tcPr>
          <w:p w:rsidR="0024051E" w:rsidRDefault="0024051E" w:rsidP="00D75F90">
            <w:pPr>
              <w:pStyle w:val="BodyText"/>
            </w:pPr>
            <w:r>
              <w:t>1.0</w:t>
            </w:r>
          </w:p>
        </w:tc>
        <w:tc>
          <w:tcPr>
            <w:tcW w:w="1417" w:type="dxa"/>
            <w:shd w:val="clear" w:color="auto" w:fill="FFFFFF" w:themeFill="background1"/>
          </w:tcPr>
          <w:p w:rsidR="0024051E" w:rsidRDefault="0024051E" w:rsidP="00D75F90">
            <w:pPr>
              <w:pStyle w:val="BodyText"/>
            </w:pPr>
            <w:r>
              <w:t>1</w:t>
            </w:r>
          </w:p>
        </w:tc>
        <w:tc>
          <w:tcPr>
            <w:tcW w:w="737" w:type="dxa"/>
            <w:shd w:val="clear" w:color="auto" w:fill="FFFFFF" w:themeFill="background1"/>
          </w:tcPr>
          <w:p w:rsidR="0024051E" w:rsidRDefault="0024051E" w:rsidP="00D75F90">
            <w:pPr>
              <w:pStyle w:val="BodyText"/>
            </w:pPr>
            <w:r>
              <w:t>1.0</w:t>
            </w:r>
          </w:p>
        </w:tc>
        <w:tc>
          <w:tcPr>
            <w:tcW w:w="1417" w:type="dxa"/>
            <w:shd w:val="clear" w:color="auto" w:fill="FFFFFF" w:themeFill="background1"/>
          </w:tcPr>
          <w:p w:rsidR="0024051E" w:rsidRDefault="0024051E" w:rsidP="00D75F90">
            <w:pPr>
              <w:pStyle w:val="BodyText"/>
            </w:pPr>
            <w:r>
              <w:t>0</w:t>
            </w:r>
          </w:p>
        </w:tc>
        <w:tc>
          <w:tcPr>
            <w:tcW w:w="1143" w:type="dxa"/>
            <w:shd w:val="clear" w:color="auto" w:fill="FFFFFF" w:themeFill="background1"/>
          </w:tcPr>
          <w:p w:rsidR="0024051E" w:rsidRDefault="0024051E" w:rsidP="00D75F90">
            <w:pPr>
              <w:pStyle w:val="BodyText"/>
            </w:pPr>
            <w:r>
              <w:t>0.0</w:t>
            </w:r>
          </w:p>
        </w:tc>
      </w:tr>
      <w:tr w:rsidR="009549EF" w:rsidRPr="009549EF" w:rsidTr="00C30441">
        <w:trPr>
          <w:trHeight w:hRule="exact" w:val="396"/>
        </w:trPr>
        <w:tc>
          <w:tcPr>
            <w:tcW w:w="538" w:type="dxa"/>
            <w:vMerge/>
            <w:shd w:val="clear" w:color="auto" w:fill="FFFFFF" w:themeFill="background1"/>
          </w:tcPr>
          <w:p w:rsidR="0024051E" w:rsidRDefault="0024051E" w:rsidP="00D75F90">
            <w:pPr>
              <w:pStyle w:val="BodyText"/>
            </w:pPr>
          </w:p>
        </w:tc>
        <w:tc>
          <w:tcPr>
            <w:tcW w:w="1984" w:type="dxa"/>
            <w:shd w:val="clear" w:color="auto" w:fill="FFFFFF" w:themeFill="background1"/>
          </w:tcPr>
          <w:p w:rsidR="0024051E" w:rsidRDefault="0024051E" w:rsidP="00D75F90">
            <w:pPr>
              <w:pStyle w:val="BodyText"/>
            </w:pPr>
            <w:r>
              <w:t>Principal Solicitor</w:t>
            </w:r>
          </w:p>
        </w:tc>
        <w:tc>
          <w:tcPr>
            <w:tcW w:w="1418" w:type="dxa"/>
            <w:shd w:val="clear" w:color="auto" w:fill="FFFFFF" w:themeFill="background1"/>
          </w:tcPr>
          <w:p w:rsidR="0024051E" w:rsidRDefault="0024051E" w:rsidP="00D75F90">
            <w:pPr>
              <w:pStyle w:val="BodyText"/>
            </w:pPr>
            <w:r>
              <w:t>1</w:t>
            </w:r>
          </w:p>
        </w:tc>
        <w:tc>
          <w:tcPr>
            <w:tcW w:w="737" w:type="dxa"/>
            <w:shd w:val="clear" w:color="auto" w:fill="FFFFFF" w:themeFill="background1"/>
          </w:tcPr>
          <w:p w:rsidR="0024051E" w:rsidRDefault="0024051E" w:rsidP="00D75F90">
            <w:pPr>
              <w:pStyle w:val="BodyText"/>
            </w:pPr>
            <w:r>
              <w:t>0.8</w:t>
            </w:r>
          </w:p>
        </w:tc>
        <w:tc>
          <w:tcPr>
            <w:tcW w:w="1417" w:type="dxa"/>
            <w:shd w:val="clear" w:color="auto" w:fill="FFFFFF" w:themeFill="background1"/>
          </w:tcPr>
          <w:p w:rsidR="0024051E" w:rsidRDefault="0024051E" w:rsidP="00D75F90">
            <w:pPr>
              <w:pStyle w:val="BodyText"/>
            </w:pPr>
            <w:r>
              <w:t>1</w:t>
            </w:r>
          </w:p>
        </w:tc>
        <w:tc>
          <w:tcPr>
            <w:tcW w:w="737" w:type="dxa"/>
            <w:shd w:val="clear" w:color="auto" w:fill="FFFFFF" w:themeFill="background1"/>
          </w:tcPr>
          <w:p w:rsidR="0024051E" w:rsidRDefault="0024051E" w:rsidP="00D75F90">
            <w:pPr>
              <w:pStyle w:val="BodyText"/>
            </w:pPr>
            <w:r>
              <w:t>0.8</w:t>
            </w:r>
          </w:p>
        </w:tc>
        <w:tc>
          <w:tcPr>
            <w:tcW w:w="1417" w:type="dxa"/>
            <w:shd w:val="clear" w:color="auto" w:fill="FFFFFF" w:themeFill="background1"/>
          </w:tcPr>
          <w:p w:rsidR="0024051E" w:rsidRDefault="0024051E" w:rsidP="00D75F90">
            <w:pPr>
              <w:pStyle w:val="BodyText"/>
            </w:pPr>
            <w:r>
              <w:t>0</w:t>
            </w:r>
          </w:p>
        </w:tc>
        <w:tc>
          <w:tcPr>
            <w:tcW w:w="1143" w:type="dxa"/>
            <w:shd w:val="clear" w:color="auto" w:fill="FFFFFF" w:themeFill="background1"/>
          </w:tcPr>
          <w:p w:rsidR="0024051E" w:rsidRDefault="0024051E" w:rsidP="00D75F90">
            <w:pPr>
              <w:pStyle w:val="BodyText"/>
            </w:pPr>
            <w:r>
              <w:t>0.0</w:t>
            </w:r>
          </w:p>
        </w:tc>
      </w:tr>
      <w:tr w:rsidR="009549EF" w:rsidRPr="009549EF" w:rsidTr="00C30441">
        <w:trPr>
          <w:trHeight w:hRule="exact" w:val="396"/>
        </w:trPr>
        <w:tc>
          <w:tcPr>
            <w:tcW w:w="538" w:type="dxa"/>
            <w:vMerge/>
            <w:shd w:val="clear" w:color="auto" w:fill="FFFFFF" w:themeFill="background1"/>
          </w:tcPr>
          <w:p w:rsidR="0024051E" w:rsidRDefault="0024051E" w:rsidP="00D75F90">
            <w:pPr>
              <w:pStyle w:val="BodyText"/>
            </w:pPr>
          </w:p>
        </w:tc>
        <w:tc>
          <w:tcPr>
            <w:tcW w:w="1984" w:type="dxa"/>
            <w:shd w:val="clear" w:color="auto" w:fill="FFFFFF" w:themeFill="background1"/>
          </w:tcPr>
          <w:p w:rsidR="0024051E" w:rsidRDefault="0024051E" w:rsidP="00D75F90">
            <w:pPr>
              <w:pStyle w:val="BodyText"/>
            </w:pPr>
            <w:r>
              <w:t>Senior Solicitor</w:t>
            </w:r>
          </w:p>
        </w:tc>
        <w:tc>
          <w:tcPr>
            <w:tcW w:w="1418" w:type="dxa"/>
            <w:shd w:val="clear" w:color="auto" w:fill="FFFFFF" w:themeFill="background1"/>
          </w:tcPr>
          <w:p w:rsidR="0024051E" w:rsidRDefault="0024051E" w:rsidP="00D75F90">
            <w:pPr>
              <w:pStyle w:val="BodyText"/>
            </w:pPr>
            <w:r>
              <w:t>1</w:t>
            </w:r>
          </w:p>
        </w:tc>
        <w:tc>
          <w:tcPr>
            <w:tcW w:w="737" w:type="dxa"/>
            <w:shd w:val="clear" w:color="auto" w:fill="FFFFFF" w:themeFill="background1"/>
          </w:tcPr>
          <w:p w:rsidR="0024051E" w:rsidRDefault="0024051E" w:rsidP="00D75F90">
            <w:pPr>
              <w:pStyle w:val="BodyText"/>
            </w:pPr>
            <w:r>
              <w:t>1.0</w:t>
            </w:r>
          </w:p>
        </w:tc>
        <w:tc>
          <w:tcPr>
            <w:tcW w:w="1417" w:type="dxa"/>
            <w:shd w:val="clear" w:color="auto" w:fill="FFFFFF" w:themeFill="background1"/>
          </w:tcPr>
          <w:p w:rsidR="0024051E" w:rsidRDefault="0024051E" w:rsidP="00D75F90">
            <w:pPr>
              <w:pStyle w:val="BodyText"/>
            </w:pPr>
            <w:r>
              <w:t>1</w:t>
            </w:r>
          </w:p>
        </w:tc>
        <w:tc>
          <w:tcPr>
            <w:tcW w:w="737" w:type="dxa"/>
            <w:shd w:val="clear" w:color="auto" w:fill="FFFFFF" w:themeFill="background1"/>
          </w:tcPr>
          <w:p w:rsidR="0024051E" w:rsidRDefault="0024051E" w:rsidP="00D75F90">
            <w:pPr>
              <w:pStyle w:val="BodyText"/>
            </w:pPr>
            <w:r>
              <w:t>1.0</w:t>
            </w:r>
          </w:p>
        </w:tc>
        <w:tc>
          <w:tcPr>
            <w:tcW w:w="1417" w:type="dxa"/>
            <w:shd w:val="clear" w:color="auto" w:fill="FFFFFF" w:themeFill="background1"/>
          </w:tcPr>
          <w:p w:rsidR="0024051E" w:rsidRDefault="0024051E" w:rsidP="00D75F90">
            <w:pPr>
              <w:pStyle w:val="BodyText"/>
            </w:pPr>
            <w:r>
              <w:t>0</w:t>
            </w:r>
          </w:p>
        </w:tc>
        <w:tc>
          <w:tcPr>
            <w:tcW w:w="1143" w:type="dxa"/>
            <w:shd w:val="clear" w:color="auto" w:fill="FFFFFF" w:themeFill="background1"/>
          </w:tcPr>
          <w:p w:rsidR="0024051E" w:rsidRDefault="0024051E" w:rsidP="00D75F90">
            <w:pPr>
              <w:pStyle w:val="BodyText"/>
            </w:pPr>
            <w:r>
              <w:t>0.0</w:t>
            </w:r>
          </w:p>
        </w:tc>
      </w:tr>
      <w:tr w:rsidR="009549EF" w:rsidRPr="009549EF" w:rsidTr="00C30441">
        <w:trPr>
          <w:trHeight w:hRule="exact" w:val="396"/>
        </w:trPr>
        <w:tc>
          <w:tcPr>
            <w:tcW w:w="538" w:type="dxa"/>
            <w:vMerge/>
            <w:shd w:val="clear" w:color="auto" w:fill="FFFFFF" w:themeFill="background1"/>
          </w:tcPr>
          <w:p w:rsidR="0024051E" w:rsidRDefault="0024051E" w:rsidP="00D75F90">
            <w:pPr>
              <w:pStyle w:val="BodyText"/>
            </w:pPr>
          </w:p>
        </w:tc>
        <w:tc>
          <w:tcPr>
            <w:tcW w:w="1984" w:type="dxa"/>
            <w:shd w:val="clear" w:color="auto" w:fill="FFFFFF" w:themeFill="background1"/>
          </w:tcPr>
          <w:p w:rsidR="0024051E" w:rsidRDefault="0024051E" w:rsidP="00D75F90">
            <w:pPr>
              <w:pStyle w:val="BodyText"/>
            </w:pPr>
            <w:r>
              <w:t>Solicitor 3</w:t>
            </w:r>
          </w:p>
        </w:tc>
        <w:tc>
          <w:tcPr>
            <w:tcW w:w="1418" w:type="dxa"/>
            <w:shd w:val="clear" w:color="auto" w:fill="FFFFFF" w:themeFill="background1"/>
          </w:tcPr>
          <w:p w:rsidR="0024051E" w:rsidRDefault="0024051E" w:rsidP="00D75F90">
            <w:pPr>
              <w:pStyle w:val="BodyText"/>
            </w:pPr>
            <w:r>
              <w:t>1</w:t>
            </w:r>
          </w:p>
        </w:tc>
        <w:tc>
          <w:tcPr>
            <w:tcW w:w="737" w:type="dxa"/>
            <w:shd w:val="clear" w:color="auto" w:fill="FFFFFF" w:themeFill="background1"/>
          </w:tcPr>
          <w:p w:rsidR="0024051E" w:rsidRDefault="0024051E" w:rsidP="00D75F90">
            <w:pPr>
              <w:pStyle w:val="BodyText"/>
            </w:pPr>
            <w:r>
              <w:t>0.6</w:t>
            </w:r>
          </w:p>
        </w:tc>
        <w:tc>
          <w:tcPr>
            <w:tcW w:w="1417" w:type="dxa"/>
            <w:shd w:val="clear" w:color="auto" w:fill="FFFFFF" w:themeFill="background1"/>
          </w:tcPr>
          <w:p w:rsidR="0024051E" w:rsidRDefault="0024051E" w:rsidP="00D75F90">
            <w:pPr>
              <w:pStyle w:val="BodyText"/>
            </w:pPr>
            <w:r>
              <w:t>1</w:t>
            </w:r>
          </w:p>
        </w:tc>
        <w:tc>
          <w:tcPr>
            <w:tcW w:w="737" w:type="dxa"/>
            <w:shd w:val="clear" w:color="auto" w:fill="FFFFFF" w:themeFill="background1"/>
          </w:tcPr>
          <w:p w:rsidR="0024051E" w:rsidRDefault="0024051E" w:rsidP="00D75F90">
            <w:pPr>
              <w:pStyle w:val="BodyText"/>
            </w:pPr>
            <w:r>
              <w:t>0.6</w:t>
            </w:r>
          </w:p>
        </w:tc>
        <w:tc>
          <w:tcPr>
            <w:tcW w:w="1417" w:type="dxa"/>
            <w:shd w:val="clear" w:color="auto" w:fill="FFFFFF" w:themeFill="background1"/>
          </w:tcPr>
          <w:p w:rsidR="0024051E" w:rsidRDefault="0024051E" w:rsidP="00D75F90">
            <w:pPr>
              <w:pStyle w:val="BodyText"/>
            </w:pPr>
            <w:r>
              <w:t>0</w:t>
            </w:r>
          </w:p>
        </w:tc>
        <w:tc>
          <w:tcPr>
            <w:tcW w:w="1143" w:type="dxa"/>
            <w:shd w:val="clear" w:color="auto" w:fill="FFFFFF" w:themeFill="background1"/>
          </w:tcPr>
          <w:p w:rsidR="0024051E" w:rsidRDefault="0024051E" w:rsidP="00D75F90">
            <w:pPr>
              <w:pStyle w:val="BodyText"/>
            </w:pPr>
            <w:r>
              <w:t>0.0</w:t>
            </w:r>
          </w:p>
        </w:tc>
      </w:tr>
      <w:tr w:rsidR="009549EF" w:rsidRPr="009549EF" w:rsidTr="00C30441">
        <w:trPr>
          <w:trHeight w:hRule="exact" w:val="396"/>
        </w:trPr>
        <w:tc>
          <w:tcPr>
            <w:tcW w:w="538" w:type="dxa"/>
            <w:vMerge/>
            <w:shd w:val="clear" w:color="auto" w:fill="FFFFFF" w:themeFill="background1"/>
          </w:tcPr>
          <w:p w:rsidR="0024051E" w:rsidRDefault="0024051E" w:rsidP="00D75F90">
            <w:pPr>
              <w:pStyle w:val="BodyText"/>
            </w:pPr>
          </w:p>
        </w:tc>
        <w:tc>
          <w:tcPr>
            <w:tcW w:w="1984" w:type="dxa"/>
            <w:shd w:val="clear" w:color="auto" w:fill="FFFFFF" w:themeFill="background1"/>
          </w:tcPr>
          <w:p w:rsidR="0024051E" w:rsidRDefault="0024051E" w:rsidP="00D75F90">
            <w:pPr>
              <w:pStyle w:val="BodyText"/>
            </w:pPr>
            <w:r>
              <w:t>VPS 2</w:t>
            </w:r>
          </w:p>
        </w:tc>
        <w:tc>
          <w:tcPr>
            <w:tcW w:w="1418" w:type="dxa"/>
            <w:shd w:val="clear" w:color="auto" w:fill="FFFFFF" w:themeFill="background1"/>
          </w:tcPr>
          <w:p w:rsidR="0024051E" w:rsidRDefault="0024051E" w:rsidP="00D75F90">
            <w:pPr>
              <w:pStyle w:val="BodyText"/>
            </w:pPr>
            <w:r>
              <w:t>0</w:t>
            </w:r>
          </w:p>
        </w:tc>
        <w:tc>
          <w:tcPr>
            <w:tcW w:w="737" w:type="dxa"/>
            <w:shd w:val="clear" w:color="auto" w:fill="FFFFFF" w:themeFill="background1"/>
          </w:tcPr>
          <w:p w:rsidR="0024051E" w:rsidRDefault="0024051E" w:rsidP="00D75F90">
            <w:pPr>
              <w:pStyle w:val="BodyText"/>
            </w:pPr>
            <w:r>
              <w:t>0.0</w:t>
            </w:r>
          </w:p>
        </w:tc>
        <w:tc>
          <w:tcPr>
            <w:tcW w:w="1417" w:type="dxa"/>
            <w:shd w:val="clear" w:color="auto" w:fill="FFFFFF" w:themeFill="background1"/>
          </w:tcPr>
          <w:p w:rsidR="0024051E" w:rsidRDefault="0024051E" w:rsidP="00D75F90">
            <w:pPr>
              <w:pStyle w:val="BodyText"/>
            </w:pPr>
            <w:r>
              <w:t>0</w:t>
            </w:r>
          </w:p>
        </w:tc>
        <w:tc>
          <w:tcPr>
            <w:tcW w:w="737" w:type="dxa"/>
            <w:shd w:val="clear" w:color="auto" w:fill="FFFFFF" w:themeFill="background1"/>
          </w:tcPr>
          <w:p w:rsidR="0024051E" w:rsidRDefault="0024051E" w:rsidP="00D75F90">
            <w:pPr>
              <w:pStyle w:val="BodyText"/>
            </w:pPr>
            <w:r>
              <w:t>0.0</w:t>
            </w:r>
          </w:p>
        </w:tc>
        <w:tc>
          <w:tcPr>
            <w:tcW w:w="1417" w:type="dxa"/>
            <w:shd w:val="clear" w:color="auto" w:fill="FFFFFF" w:themeFill="background1"/>
          </w:tcPr>
          <w:p w:rsidR="0024051E" w:rsidRDefault="0024051E" w:rsidP="00D75F90">
            <w:pPr>
              <w:pStyle w:val="BodyText"/>
            </w:pPr>
            <w:r>
              <w:t>0</w:t>
            </w:r>
          </w:p>
        </w:tc>
        <w:tc>
          <w:tcPr>
            <w:tcW w:w="1143" w:type="dxa"/>
            <w:shd w:val="clear" w:color="auto" w:fill="FFFFFF" w:themeFill="background1"/>
          </w:tcPr>
          <w:p w:rsidR="0024051E" w:rsidRDefault="0024051E" w:rsidP="00D75F90">
            <w:pPr>
              <w:pStyle w:val="BodyText"/>
            </w:pPr>
            <w:r>
              <w:t>0.0</w:t>
            </w:r>
          </w:p>
        </w:tc>
      </w:tr>
      <w:tr w:rsidR="009549EF" w:rsidRPr="009549EF" w:rsidTr="00C30441">
        <w:trPr>
          <w:trHeight w:hRule="exact" w:val="396"/>
        </w:trPr>
        <w:tc>
          <w:tcPr>
            <w:tcW w:w="538" w:type="dxa"/>
            <w:vMerge/>
            <w:shd w:val="clear" w:color="auto" w:fill="FFFFFF" w:themeFill="background1"/>
          </w:tcPr>
          <w:p w:rsidR="0024051E" w:rsidRDefault="0024051E" w:rsidP="00D75F90">
            <w:pPr>
              <w:pStyle w:val="BodyText"/>
            </w:pPr>
          </w:p>
        </w:tc>
        <w:tc>
          <w:tcPr>
            <w:tcW w:w="1984" w:type="dxa"/>
            <w:shd w:val="clear" w:color="auto" w:fill="FFFFFF" w:themeFill="background1"/>
          </w:tcPr>
          <w:p w:rsidR="0024051E" w:rsidRDefault="0024051E" w:rsidP="00D75F90">
            <w:pPr>
              <w:pStyle w:val="BodyText"/>
            </w:pPr>
            <w:r>
              <w:t>VPS 3</w:t>
            </w:r>
          </w:p>
        </w:tc>
        <w:tc>
          <w:tcPr>
            <w:tcW w:w="1418" w:type="dxa"/>
            <w:shd w:val="clear" w:color="auto" w:fill="FFFFFF" w:themeFill="background1"/>
          </w:tcPr>
          <w:p w:rsidR="0024051E" w:rsidRDefault="0024051E" w:rsidP="00D75F90">
            <w:pPr>
              <w:pStyle w:val="BodyText"/>
            </w:pPr>
            <w:r>
              <w:t>5</w:t>
            </w:r>
          </w:p>
        </w:tc>
        <w:tc>
          <w:tcPr>
            <w:tcW w:w="737" w:type="dxa"/>
            <w:shd w:val="clear" w:color="auto" w:fill="FFFFFF" w:themeFill="background1"/>
          </w:tcPr>
          <w:p w:rsidR="0024051E" w:rsidRDefault="0024051E" w:rsidP="00D75F90">
            <w:pPr>
              <w:pStyle w:val="BodyText"/>
            </w:pPr>
            <w:r>
              <w:t>5.0</w:t>
            </w:r>
          </w:p>
        </w:tc>
        <w:tc>
          <w:tcPr>
            <w:tcW w:w="1417" w:type="dxa"/>
            <w:shd w:val="clear" w:color="auto" w:fill="FFFFFF" w:themeFill="background1"/>
          </w:tcPr>
          <w:p w:rsidR="0024051E" w:rsidRDefault="0024051E" w:rsidP="00D75F90">
            <w:pPr>
              <w:pStyle w:val="BodyText"/>
            </w:pPr>
            <w:r>
              <w:t>4</w:t>
            </w:r>
          </w:p>
        </w:tc>
        <w:tc>
          <w:tcPr>
            <w:tcW w:w="737" w:type="dxa"/>
            <w:shd w:val="clear" w:color="auto" w:fill="FFFFFF" w:themeFill="background1"/>
          </w:tcPr>
          <w:p w:rsidR="0024051E" w:rsidRDefault="0024051E" w:rsidP="00D75F90">
            <w:pPr>
              <w:pStyle w:val="BodyText"/>
            </w:pPr>
            <w:r>
              <w:t>4.0</w:t>
            </w:r>
          </w:p>
        </w:tc>
        <w:tc>
          <w:tcPr>
            <w:tcW w:w="1417" w:type="dxa"/>
            <w:shd w:val="clear" w:color="auto" w:fill="FFFFFF" w:themeFill="background1"/>
          </w:tcPr>
          <w:p w:rsidR="0024051E" w:rsidRDefault="0024051E" w:rsidP="00D75F90">
            <w:pPr>
              <w:pStyle w:val="BodyText"/>
            </w:pPr>
            <w:r>
              <w:t>1</w:t>
            </w:r>
          </w:p>
        </w:tc>
        <w:tc>
          <w:tcPr>
            <w:tcW w:w="1143" w:type="dxa"/>
            <w:shd w:val="clear" w:color="auto" w:fill="FFFFFF" w:themeFill="background1"/>
          </w:tcPr>
          <w:p w:rsidR="0024051E" w:rsidRDefault="0024051E" w:rsidP="00D75F90">
            <w:pPr>
              <w:pStyle w:val="BodyText"/>
            </w:pPr>
            <w:r>
              <w:t>1.0</w:t>
            </w:r>
          </w:p>
        </w:tc>
      </w:tr>
      <w:tr w:rsidR="009549EF" w:rsidRPr="009549EF" w:rsidTr="00C30441">
        <w:trPr>
          <w:trHeight w:hRule="exact" w:val="396"/>
        </w:trPr>
        <w:tc>
          <w:tcPr>
            <w:tcW w:w="538" w:type="dxa"/>
            <w:vMerge/>
            <w:shd w:val="clear" w:color="auto" w:fill="FFFFFF" w:themeFill="background1"/>
          </w:tcPr>
          <w:p w:rsidR="0024051E" w:rsidRDefault="0024051E" w:rsidP="00D75F90">
            <w:pPr>
              <w:pStyle w:val="BodyText"/>
            </w:pPr>
          </w:p>
        </w:tc>
        <w:tc>
          <w:tcPr>
            <w:tcW w:w="1984" w:type="dxa"/>
            <w:shd w:val="clear" w:color="auto" w:fill="FFFFFF" w:themeFill="background1"/>
          </w:tcPr>
          <w:p w:rsidR="0024051E" w:rsidRDefault="0024051E" w:rsidP="00D75F90">
            <w:pPr>
              <w:pStyle w:val="BodyText"/>
            </w:pPr>
            <w:r>
              <w:t>VPS 4</w:t>
            </w:r>
          </w:p>
        </w:tc>
        <w:tc>
          <w:tcPr>
            <w:tcW w:w="1418" w:type="dxa"/>
            <w:shd w:val="clear" w:color="auto" w:fill="FFFFFF" w:themeFill="background1"/>
          </w:tcPr>
          <w:p w:rsidR="0024051E" w:rsidRDefault="0024051E" w:rsidP="00D75F90">
            <w:pPr>
              <w:pStyle w:val="BodyText"/>
            </w:pPr>
            <w:r>
              <w:t>15</w:t>
            </w:r>
          </w:p>
        </w:tc>
        <w:tc>
          <w:tcPr>
            <w:tcW w:w="737" w:type="dxa"/>
            <w:shd w:val="clear" w:color="auto" w:fill="FFFFFF" w:themeFill="background1"/>
          </w:tcPr>
          <w:p w:rsidR="0024051E" w:rsidRDefault="0024051E" w:rsidP="00D75F90">
            <w:pPr>
              <w:pStyle w:val="BodyText"/>
            </w:pPr>
            <w:r>
              <w:t>14.6</w:t>
            </w:r>
          </w:p>
        </w:tc>
        <w:tc>
          <w:tcPr>
            <w:tcW w:w="1417" w:type="dxa"/>
            <w:shd w:val="clear" w:color="auto" w:fill="FFFFFF" w:themeFill="background1"/>
          </w:tcPr>
          <w:p w:rsidR="0024051E" w:rsidRDefault="0024051E" w:rsidP="00D75F90">
            <w:pPr>
              <w:pStyle w:val="BodyText"/>
            </w:pPr>
            <w:r>
              <w:t>8</w:t>
            </w:r>
          </w:p>
        </w:tc>
        <w:tc>
          <w:tcPr>
            <w:tcW w:w="737" w:type="dxa"/>
            <w:shd w:val="clear" w:color="auto" w:fill="FFFFFF" w:themeFill="background1"/>
          </w:tcPr>
          <w:p w:rsidR="0024051E" w:rsidRDefault="0024051E" w:rsidP="00D75F90">
            <w:pPr>
              <w:pStyle w:val="BodyText"/>
            </w:pPr>
            <w:r>
              <w:t>7.6</w:t>
            </w:r>
          </w:p>
        </w:tc>
        <w:tc>
          <w:tcPr>
            <w:tcW w:w="1417" w:type="dxa"/>
            <w:shd w:val="clear" w:color="auto" w:fill="FFFFFF" w:themeFill="background1"/>
          </w:tcPr>
          <w:p w:rsidR="0024051E" w:rsidRDefault="0024051E" w:rsidP="00D75F90">
            <w:pPr>
              <w:pStyle w:val="BodyText"/>
            </w:pPr>
            <w:r>
              <w:t>7</w:t>
            </w:r>
          </w:p>
        </w:tc>
        <w:tc>
          <w:tcPr>
            <w:tcW w:w="1143" w:type="dxa"/>
            <w:shd w:val="clear" w:color="auto" w:fill="FFFFFF" w:themeFill="background1"/>
          </w:tcPr>
          <w:p w:rsidR="0024051E" w:rsidRDefault="0024051E" w:rsidP="00D75F90">
            <w:pPr>
              <w:pStyle w:val="BodyText"/>
            </w:pPr>
            <w:r>
              <w:t>7.0</w:t>
            </w:r>
          </w:p>
        </w:tc>
      </w:tr>
      <w:tr w:rsidR="009549EF" w:rsidRPr="009549EF" w:rsidTr="00C30441">
        <w:trPr>
          <w:trHeight w:hRule="exact" w:val="396"/>
        </w:trPr>
        <w:tc>
          <w:tcPr>
            <w:tcW w:w="538" w:type="dxa"/>
            <w:vMerge/>
            <w:shd w:val="clear" w:color="auto" w:fill="FFFFFF" w:themeFill="background1"/>
          </w:tcPr>
          <w:p w:rsidR="0024051E" w:rsidRDefault="0024051E" w:rsidP="00D75F90">
            <w:pPr>
              <w:pStyle w:val="BodyText"/>
            </w:pPr>
          </w:p>
        </w:tc>
        <w:tc>
          <w:tcPr>
            <w:tcW w:w="1984" w:type="dxa"/>
            <w:shd w:val="clear" w:color="auto" w:fill="FFFFFF" w:themeFill="background1"/>
          </w:tcPr>
          <w:p w:rsidR="0024051E" w:rsidRDefault="0024051E" w:rsidP="00D75F90">
            <w:pPr>
              <w:pStyle w:val="BodyText"/>
            </w:pPr>
            <w:r>
              <w:t>VPS 5</w:t>
            </w:r>
          </w:p>
        </w:tc>
        <w:tc>
          <w:tcPr>
            <w:tcW w:w="1418" w:type="dxa"/>
            <w:shd w:val="clear" w:color="auto" w:fill="FFFFFF" w:themeFill="background1"/>
          </w:tcPr>
          <w:p w:rsidR="0024051E" w:rsidRDefault="0024051E" w:rsidP="00D75F90">
            <w:pPr>
              <w:pStyle w:val="BodyText"/>
            </w:pPr>
            <w:r>
              <w:t>23</w:t>
            </w:r>
          </w:p>
        </w:tc>
        <w:tc>
          <w:tcPr>
            <w:tcW w:w="737" w:type="dxa"/>
            <w:shd w:val="clear" w:color="auto" w:fill="FFFFFF" w:themeFill="background1"/>
          </w:tcPr>
          <w:p w:rsidR="0024051E" w:rsidRDefault="0024051E" w:rsidP="00D75F90">
            <w:pPr>
              <w:pStyle w:val="BodyText"/>
            </w:pPr>
            <w:r>
              <w:t>20.8</w:t>
            </w:r>
          </w:p>
        </w:tc>
        <w:tc>
          <w:tcPr>
            <w:tcW w:w="1417" w:type="dxa"/>
            <w:shd w:val="clear" w:color="auto" w:fill="FFFFFF" w:themeFill="background1"/>
          </w:tcPr>
          <w:p w:rsidR="0024051E" w:rsidRDefault="0024051E" w:rsidP="00D75F90">
            <w:pPr>
              <w:pStyle w:val="BodyText"/>
            </w:pPr>
            <w:r>
              <w:t>16</w:t>
            </w:r>
          </w:p>
        </w:tc>
        <w:tc>
          <w:tcPr>
            <w:tcW w:w="737" w:type="dxa"/>
            <w:shd w:val="clear" w:color="auto" w:fill="FFFFFF" w:themeFill="background1"/>
          </w:tcPr>
          <w:p w:rsidR="0024051E" w:rsidRDefault="0024051E" w:rsidP="00D75F90">
            <w:pPr>
              <w:pStyle w:val="BodyText"/>
            </w:pPr>
            <w:r>
              <w:t>14.8</w:t>
            </w:r>
          </w:p>
        </w:tc>
        <w:tc>
          <w:tcPr>
            <w:tcW w:w="1417" w:type="dxa"/>
            <w:shd w:val="clear" w:color="auto" w:fill="FFFFFF" w:themeFill="background1"/>
          </w:tcPr>
          <w:p w:rsidR="0024051E" w:rsidRDefault="0024051E" w:rsidP="00D75F90">
            <w:pPr>
              <w:pStyle w:val="BodyText"/>
            </w:pPr>
            <w:r>
              <w:t>7</w:t>
            </w:r>
          </w:p>
        </w:tc>
        <w:tc>
          <w:tcPr>
            <w:tcW w:w="1143" w:type="dxa"/>
            <w:shd w:val="clear" w:color="auto" w:fill="FFFFFF" w:themeFill="background1"/>
          </w:tcPr>
          <w:p w:rsidR="0024051E" w:rsidRDefault="0024051E" w:rsidP="00D75F90">
            <w:pPr>
              <w:pStyle w:val="BodyText"/>
            </w:pPr>
            <w:r>
              <w:t>6.0</w:t>
            </w:r>
          </w:p>
        </w:tc>
      </w:tr>
      <w:tr w:rsidR="009549EF" w:rsidRPr="009549EF" w:rsidTr="00C30441">
        <w:trPr>
          <w:trHeight w:hRule="exact" w:val="396"/>
        </w:trPr>
        <w:tc>
          <w:tcPr>
            <w:tcW w:w="538" w:type="dxa"/>
            <w:vMerge/>
            <w:shd w:val="clear" w:color="auto" w:fill="FFFFFF" w:themeFill="background1"/>
          </w:tcPr>
          <w:p w:rsidR="0024051E" w:rsidRDefault="0024051E" w:rsidP="00D75F90">
            <w:pPr>
              <w:pStyle w:val="BodyText"/>
            </w:pPr>
          </w:p>
        </w:tc>
        <w:tc>
          <w:tcPr>
            <w:tcW w:w="1984" w:type="dxa"/>
            <w:shd w:val="clear" w:color="auto" w:fill="FFFFFF" w:themeFill="background1"/>
          </w:tcPr>
          <w:p w:rsidR="0024051E" w:rsidRDefault="0024051E" w:rsidP="00D75F90">
            <w:pPr>
              <w:pStyle w:val="BodyText"/>
            </w:pPr>
            <w:r>
              <w:t>VPS 6</w:t>
            </w:r>
          </w:p>
        </w:tc>
        <w:tc>
          <w:tcPr>
            <w:tcW w:w="1418" w:type="dxa"/>
            <w:shd w:val="clear" w:color="auto" w:fill="FFFFFF" w:themeFill="background1"/>
          </w:tcPr>
          <w:p w:rsidR="0024051E" w:rsidRDefault="0024051E" w:rsidP="00D75F90">
            <w:pPr>
              <w:pStyle w:val="BodyText"/>
            </w:pPr>
            <w:r>
              <w:t>9</w:t>
            </w:r>
          </w:p>
        </w:tc>
        <w:tc>
          <w:tcPr>
            <w:tcW w:w="737" w:type="dxa"/>
            <w:shd w:val="clear" w:color="auto" w:fill="FFFFFF" w:themeFill="background1"/>
          </w:tcPr>
          <w:p w:rsidR="0024051E" w:rsidRDefault="0024051E" w:rsidP="00D75F90">
            <w:pPr>
              <w:pStyle w:val="BodyText"/>
            </w:pPr>
            <w:r>
              <w:t>7.9</w:t>
            </w:r>
          </w:p>
        </w:tc>
        <w:tc>
          <w:tcPr>
            <w:tcW w:w="1417" w:type="dxa"/>
            <w:shd w:val="clear" w:color="auto" w:fill="FFFFFF" w:themeFill="background1"/>
          </w:tcPr>
          <w:p w:rsidR="0024051E" w:rsidRDefault="0024051E" w:rsidP="00D75F90">
            <w:pPr>
              <w:pStyle w:val="BodyText"/>
            </w:pPr>
            <w:r>
              <w:t>8</w:t>
            </w:r>
          </w:p>
        </w:tc>
        <w:tc>
          <w:tcPr>
            <w:tcW w:w="737" w:type="dxa"/>
            <w:shd w:val="clear" w:color="auto" w:fill="FFFFFF" w:themeFill="background1"/>
          </w:tcPr>
          <w:p w:rsidR="0024051E" w:rsidRDefault="0024051E" w:rsidP="00D75F90">
            <w:pPr>
              <w:pStyle w:val="BodyText"/>
            </w:pPr>
            <w:r>
              <w:t>7.3</w:t>
            </w:r>
          </w:p>
        </w:tc>
        <w:tc>
          <w:tcPr>
            <w:tcW w:w="1417" w:type="dxa"/>
            <w:shd w:val="clear" w:color="auto" w:fill="FFFFFF" w:themeFill="background1"/>
          </w:tcPr>
          <w:p w:rsidR="0024051E" w:rsidRDefault="0024051E" w:rsidP="00D75F90">
            <w:pPr>
              <w:pStyle w:val="BodyText"/>
            </w:pPr>
            <w:r>
              <w:t>1</w:t>
            </w:r>
          </w:p>
        </w:tc>
        <w:tc>
          <w:tcPr>
            <w:tcW w:w="1143" w:type="dxa"/>
            <w:shd w:val="clear" w:color="auto" w:fill="FFFFFF" w:themeFill="background1"/>
          </w:tcPr>
          <w:p w:rsidR="0024051E" w:rsidRDefault="0024051E" w:rsidP="00D75F90">
            <w:pPr>
              <w:pStyle w:val="BodyText"/>
            </w:pPr>
            <w:r>
              <w:t>0.6</w:t>
            </w:r>
          </w:p>
        </w:tc>
      </w:tr>
      <w:tr w:rsidR="009549EF" w:rsidRPr="009549EF" w:rsidTr="00C30441">
        <w:trPr>
          <w:trHeight w:hRule="exact" w:val="783"/>
        </w:trPr>
        <w:tc>
          <w:tcPr>
            <w:tcW w:w="538" w:type="dxa"/>
            <w:shd w:val="clear" w:color="auto" w:fill="FFFFFF" w:themeFill="background1"/>
          </w:tcPr>
          <w:p w:rsidR="0024051E" w:rsidRDefault="0024051E" w:rsidP="00D75F90">
            <w:pPr>
              <w:pStyle w:val="BodyText"/>
            </w:pPr>
          </w:p>
        </w:tc>
        <w:tc>
          <w:tcPr>
            <w:tcW w:w="1984" w:type="dxa"/>
            <w:shd w:val="clear" w:color="auto" w:fill="FFFFFF" w:themeFill="background1"/>
          </w:tcPr>
          <w:p w:rsidR="0024051E" w:rsidRPr="007063DF" w:rsidRDefault="0024051E" w:rsidP="00D75F90">
            <w:pPr>
              <w:pStyle w:val="BodyText"/>
              <w:rPr>
                <w:rStyle w:val="Characterbold"/>
                <w:lang w:eastAsia="en-US"/>
              </w:rPr>
            </w:pPr>
            <w:r w:rsidRPr="007063DF">
              <w:rPr>
                <w:rStyle w:val="Characterbold"/>
                <w:lang w:eastAsia="en-US"/>
              </w:rPr>
              <w:t>Total active* employees</w:t>
            </w:r>
          </w:p>
        </w:tc>
        <w:tc>
          <w:tcPr>
            <w:tcW w:w="1418" w:type="dxa"/>
            <w:shd w:val="clear" w:color="auto" w:fill="FFFFFF" w:themeFill="background1"/>
          </w:tcPr>
          <w:p w:rsidR="0024051E" w:rsidRPr="007063DF" w:rsidRDefault="0024051E" w:rsidP="00D75F90">
            <w:pPr>
              <w:pStyle w:val="BodyText"/>
              <w:rPr>
                <w:rStyle w:val="Characterbold"/>
                <w:lang w:eastAsia="en-US"/>
              </w:rPr>
            </w:pPr>
            <w:r w:rsidRPr="007063DF">
              <w:rPr>
                <w:rStyle w:val="Characterbold"/>
                <w:lang w:eastAsia="en-US"/>
              </w:rPr>
              <w:t>56</w:t>
            </w:r>
          </w:p>
        </w:tc>
        <w:tc>
          <w:tcPr>
            <w:tcW w:w="737" w:type="dxa"/>
            <w:shd w:val="clear" w:color="auto" w:fill="FFFFFF" w:themeFill="background1"/>
          </w:tcPr>
          <w:p w:rsidR="0024051E" w:rsidRPr="007063DF" w:rsidRDefault="0024051E" w:rsidP="00D75F90">
            <w:pPr>
              <w:pStyle w:val="BodyText"/>
              <w:rPr>
                <w:rStyle w:val="Characterbold"/>
                <w:lang w:eastAsia="en-US"/>
              </w:rPr>
            </w:pPr>
            <w:r w:rsidRPr="007063DF">
              <w:rPr>
                <w:rStyle w:val="Characterbold"/>
                <w:lang w:eastAsia="en-US"/>
              </w:rPr>
              <w:t>51.7</w:t>
            </w:r>
          </w:p>
        </w:tc>
        <w:tc>
          <w:tcPr>
            <w:tcW w:w="1417" w:type="dxa"/>
            <w:shd w:val="clear" w:color="auto" w:fill="FFFFFF" w:themeFill="background1"/>
          </w:tcPr>
          <w:p w:rsidR="0024051E" w:rsidRPr="007063DF" w:rsidRDefault="0024051E" w:rsidP="00D75F90">
            <w:pPr>
              <w:pStyle w:val="BodyText"/>
              <w:rPr>
                <w:rStyle w:val="Characterbold"/>
                <w:lang w:eastAsia="en-US"/>
              </w:rPr>
            </w:pPr>
            <w:r w:rsidRPr="007063DF">
              <w:rPr>
                <w:rStyle w:val="Characterbold"/>
                <w:lang w:eastAsia="en-US"/>
              </w:rPr>
              <w:t>40</w:t>
            </w:r>
          </w:p>
        </w:tc>
        <w:tc>
          <w:tcPr>
            <w:tcW w:w="737" w:type="dxa"/>
            <w:shd w:val="clear" w:color="auto" w:fill="FFFFFF" w:themeFill="background1"/>
          </w:tcPr>
          <w:p w:rsidR="0024051E" w:rsidRPr="007063DF" w:rsidRDefault="0024051E" w:rsidP="00D75F90">
            <w:pPr>
              <w:pStyle w:val="BodyText"/>
              <w:rPr>
                <w:rStyle w:val="Characterbold"/>
                <w:lang w:eastAsia="en-US"/>
              </w:rPr>
            </w:pPr>
            <w:r w:rsidRPr="007063DF">
              <w:rPr>
                <w:rStyle w:val="Characterbold"/>
                <w:lang w:eastAsia="en-US"/>
              </w:rPr>
              <w:t>37.1</w:t>
            </w:r>
          </w:p>
        </w:tc>
        <w:tc>
          <w:tcPr>
            <w:tcW w:w="1417" w:type="dxa"/>
            <w:shd w:val="clear" w:color="auto" w:fill="FFFFFF" w:themeFill="background1"/>
          </w:tcPr>
          <w:p w:rsidR="0024051E" w:rsidRPr="007063DF" w:rsidRDefault="0024051E" w:rsidP="00D75F90">
            <w:pPr>
              <w:pStyle w:val="BodyText"/>
              <w:rPr>
                <w:rStyle w:val="Characterbold"/>
                <w:lang w:eastAsia="en-US"/>
              </w:rPr>
            </w:pPr>
            <w:r w:rsidRPr="007063DF">
              <w:rPr>
                <w:rStyle w:val="Characterbold"/>
                <w:lang w:eastAsia="en-US"/>
              </w:rPr>
              <w:t>16</w:t>
            </w:r>
          </w:p>
        </w:tc>
        <w:tc>
          <w:tcPr>
            <w:tcW w:w="1143" w:type="dxa"/>
            <w:shd w:val="clear" w:color="auto" w:fill="FFFFFF" w:themeFill="background1"/>
          </w:tcPr>
          <w:p w:rsidR="0024051E" w:rsidRPr="007063DF" w:rsidRDefault="0024051E" w:rsidP="00D75F90">
            <w:pPr>
              <w:pStyle w:val="BodyText"/>
              <w:rPr>
                <w:rStyle w:val="Characterbold"/>
                <w:lang w:eastAsia="en-US"/>
              </w:rPr>
            </w:pPr>
            <w:r w:rsidRPr="007063DF">
              <w:rPr>
                <w:rStyle w:val="Characterbold"/>
                <w:lang w:eastAsia="en-US"/>
              </w:rPr>
              <w:t>14.6</w:t>
            </w:r>
          </w:p>
        </w:tc>
      </w:tr>
    </w:tbl>
    <w:p w:rsidR="0024051E" w:rsidRDefault="0024051E">
      <w:pPr>
        <w:pStyle w:val="HRVFootnotesEndnotes"/>
      </w:pPr>
      <w:r>
        <w:tab/>
        <w:t xml:space="preserve">Note: ‘Active employees’ has the same meaning as in Financial Reporting Direction 29C </w:t>
      </w:r>
      <w:r>
        <w:br/>
        <w:t xml:space="preserve">and includes employees on WorkCover leave receiving make up pay. Active employee </w:t>
      </w:r>
      <w:r>
        <w:br/>
        <w:t>numbers do not include:</w:t>
      </w:r>
    </w:p>
    <w:p w:rsidR="0024051E" w:rsidRDefault="0024051E">
      <w:pPr>
        <w:pStyle w:val="HRVFootnotesEndnotes"/>
      </w:pPr>
      <w:r>
        <w:t>I.</w:t>
      </w:r>
      <w:r>
        <w:tab/>
      </w:r>
      <w:r>
        <w:tab/>
        <w:t xml:space="preserve">Separated employees that ceased employment with your organisation during the 12 months </w:t>
      </w:r>
      <w:r>
        <w:tab/>
      </w:r>
      <w:r>
        <w:tab/>
        <w:t>from the first pay period of July 2017 until the end of the last full pay period of June 2018.</w:t>
      </w:r>
    </w:p>
    <w:p w:rsidR="0024051E" w:rsidRDefault="0024051E">
      <w:pPr>
        <w:pStyle w:val="HRVFootnotesEndnotes"/>
      </w:pPr>
      <w:r>
        <w:t>II.</w:t>
      </w:r>
      <w:r>
        <w:tab/>
      </w:r>
      <w:r>
        <w:tab/>
        <w:t xml:space="preserve">Casual employees who were not employed and paid for work in the final full pay period of </w:t>
      </w:r>
      <w:r>
        <w:tab/>
      </w:r>
      <w:r>
        <w:tab/>
        <w:t>June 2018.</w:t>
      </w:r>
    </w:p>
    <w:p w:rsidR="0024051E" w:rsidRDefault="0024051E">
      <w:pPr>
        <w:pStyle w:val="HRVFootnotesEndnotes"/>
      </w:pPr>
      <w:r>
        <w:t>III.</w:t>
      </w:r>
      <w:r>
        <w:tab/>
        <w:t xml:space="preserve">People who are added to the payroll in the last full pay period in June 2018 solely for the </w:t>
      </w:r>
      <w:r>
        <w:tab/>
      </w:r>
      <w:r>
        <w:tab/>
        <w:t>purpose of paying outstanding entitlements.</w:t>
      </w:r>
    </w:p>
    <w:p w:rsidR="0024051E" w:rsidRDefault="0024051E">
      <w:pPr>
        <w:pStyle w:val="HRVFootnotesEndnotes"/>
      </w:pPr>
      <w:r>
        <w:t>IV.</w:t>
      </w:r>
      <w:r>
        <w:tab/>
        <w:t>Volunteers, employment agency staff, contractors, consultants or board members.</w:t>
      </w:r>
    </w:p>
    <w:p w:rsidR="00D75F90" w:rsidRDefault="0024051E" w:rsidP="007063DF">
      <w:pPr>
        <w:pStyle w:val="Heading2"/>
      </w:pPr>
      <w:bookmarkStart w:id="19" w:name="_Toc21701409"/>
      <w:r>
        <w:lastRenderedPageBreak/>
        <w:t>Consultancy expenditure</w:t>
      </w:r>
      <w:bookmarkEnd w:id="19"/>
    </w:p>
    <w:p w:rsidR="0024051E" w:rsidRDefault="0024051E" w:rsidP="00D75F90">
      <w:pPr>
        <w:pStyle w:val="Heading3"/>
      </w:pPr>
      <w:r>
        <w:t>Details of consultancies (valued at $10,000 or greater)</w:t>
      </w:r>
    </w:p>
    <w:p w:rsidR="0024051E" w:rsidRDefault="0024051E" w:rsidP="00CF3E72">
      <w:pPr>
        <w:pStyle w:val="BodyText"/>
      </w:pPr>
      <w:r>
        <w:t>In 2018–19 there were ten consultancies where the total fees payable to the consultants were $10,000 or greater. The total expenditure incurred during 2018–19 in relation to these consultancies is $326,712 (excl. GST). Details of individual consultancies are outlined below.</w:t>
      </w: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020" w:firstRow="1" w:lastRow="0" w:firstColumn="0" w:lastColumn="0" w:noHBand="0" w:noVBand="0"/>
      </w:tblPr>
      <w:tblGrid>
        <w:gridCol w:w="1313"/>
        <w:gridCol w:w="1852"/>
        <w:gridCol w:w="1285"/>
        <w:gridCol w:w="1323"/>
        <w:gridCol w:w="1190"/>
        <w:gridCol w:w="1399"/>
        <w:gridCol w:w="1426"/>
      </w:tblGrid>
      <w:tr w:rsidR="009549EF" w:rsidRPr="009549EF" w:rsidTr="009549EF">
        <w:trPr>
          <w:trHeight w:val="1188"/>
        </w:trPr>
        <w:tc>
          <w:tcPr>
            <w:tcW w:w="1313" w:type="dxa"/>
            <w:tcBorders>
              <w:top w:val="single" w:sz="4" w:space="0" w:color="000000"/>
              <w:left w:val="single" w:sz="4" w:space="0" w:color="000000"/>
              <w:bottom w:val="single" w:sz="4" w:space="0" w:color="000000"/>
              <w:right w:val="nil"/>
            </w:tcBorders>
            <w:shd w:val="clear" w:color="auto" w:fill="000000"/>
          </w:tcPr>
          <w:p w:rsidR="0024051E" w:rsidRPr="009549EF" w:rsidRDefault="0024051E" w:rsidP="00D75F90">
            <w:pPr>
              <w:pStyle w:val="BodyText"/>
              <w:rPr>
                <w:b/>
                <w:bCs/>
                <w:color w:val="FFFFFF"/>
              </w:rPr>
            </w:pPr>
            <w:r w:rsidRPr="009549EF">
              <w:rPr>
                <w:b/>
                <w:bCs/>
                <w:color w:val="FFFFFF"/>
              </w:rPr>
              <w:t>Consultant</w:t>
            </w:r>
          </w:p>
        </w:tc>
        <w:tc>
          <w:tcPr>
            <w:tcW w:w="1852" w:type="dxa"/>
            <w:tcBorders>
              <w:top w:val="single" w:sz="4" w:space="0" w:color="000000"/>
              <w:left w:val="nil"/>
              <w:bottom w:val="single" w:sz="4" w:space="0" w:color="000000"/>
              <w:right w:val="nil"/>
            </w:tcBorders>
            <w:shd w:val="clear" w:color="auto" w:fill="000000"/>
          </w:tcPr>
          <w:p w:rsidR="0024051E" w:rsidRPr="009549EF" w:rsidRDefault="0024051E" w:rsidP="00D75F90">
            <w:pPr>
              <w:pStyle w:val="BodyText"/>
              <w:rPr>
                <w:b/>
                <w:bCs/>
                <w:color w:val="FFFFFF"/>
              </w:rPr>
            </w:pPr>
            <w:r w:rsidRPr="009549EF">
              <w:rPr>
                <w:b/>
                <w:bCs/>
                <w:color w:val="FFFFFF"/>
              </w:rPr>
              <w:t>Purpose of consultancy</w:t>
            </w:r>
          </w:p>
        </w:tc>
        <w:tc>
          <w:tcPr>
            <w:tcW w:w="1285" w:type="dxa"/>
            <w:tcBorders>
              <w:top w:val="single" w:sz="4" w:space="0" w:color="000000"/>
              <w:left w:val="nil"/>
              <w:bottom w:val="single" w:sz="4" w:space="0" w:color="000000"/>
              <w:right w:val="nil"/>
            </w:tcBorders>
            <w:shd w:val="clear" w:color="auto" w:fill="000000"/>
          </w:tcPr>
          <w:p w:rsidR="0024051E" w:rsidRPr="009549EF" w:rsidRDefault="0024051E" w:rsidP="00D75F90">
            <w:pPr>
              <w:pStyle w:val="BodyText"/>
              <w:rPr>
                <w:b/>
                <w:bCs/>
                <w:color w:val="FFFFFF"/>
              </w:rPr>
            </w:pPr>
            <w:r w:rsidRPr="009549EF">
              <w:rPr>
                <w:b/>
                <w:bCs/>
                <w:color w:val="FFFFFF"/>
              </w:rPr>
              <w:t>Start date</w:t>
            </w:r>
          </w:p>
        </w:tc>
        <w:tc>
          <w:tcPr>
            <w:tcW w:w="1323" w:type="dxa"/>
            <w:tcBorders>
              <w:top w:val="single" w:sz="4" w:space="0" w:color="000000"/>
              <w:left w:val="nil"/>
              <w:bottom w:val="single" w:sz="4" w:space="0" w:color="000000"/>
              <w:right w:val="nil"/>
            </w:tcBorders>
            <w:shd w:val="clear" w:color="auto" w:fill="000000"/>
          </w:tcPr>
          <w:p w:rsidR="0024051E" w:rsidRPr="009549EF" w:rsidRDefault="0024051E" w:rsidP="00D75F90">
            <w:pPr>
              <w:pStyle w:val="BodyText"/>
              <w:rPr>
                <w:b/>
                <w:bCs/>
                <w:color w:val="FFFFFF"/>
              </w:rPr>
            </w:pPr>
            <w:r w:rsidRPr="009549EF">
              <w:rPr>
                <w:b/>
                <w:bCs/>
                <w:color w:val="FFFFFF"/>
              </w:rPr>
              <w:t>End date</w:t>
            </w:r>
          </w:p>
        </w:tc>
        <w:tc>
          <w:tcPr>
            <w:tcW w:w="1190" w:type="dxa"/>
            <w:tcBorders>
              <w:top w:val="single" w:sz="4" w:space="0" w:color="000000"/>
              <w:left w:val="nil"/>
              <w:bottom w:val="single" w:sz="4" w:space="0" w:color="000000"/>
              <w:right w:val="nil"/>
            </w:tcBorders>
            <w:shd w:val="clear" w:color="auto" w:fill="000000"/>
          </w:tcPr>
          <w:p w:rsidR="0024051E" w:rsidRPr="009549EF" w:rsidRDefault="0024051E" w:rsidP="00D75F90">
            <w:pPr>
              <w:pStyle w:val="BodyText"/>
              <w:rPr>
                <w:b/>
                <w:bCs/>
                <w:color w:val="FFFFFF"/>
              </w:rPr>
            </w:pPr>
            <w:r w:rsidRPr="009549EF">
              <w:rPr>
                <w:b/>
                <w:bCs/>
                <w:color w:val="FFFFFF"/>
              </w:rPr>
              <w:t>Total approved project fee (excl. GST)</w:t>
            </w:r>
          </w:p>
        </w:tc>
        <w:tc>
          <w:tcPr>
            <w:tcW w:w="1399" w:type="dxa"/>
            <w:tcBorders>
              <w:top w:val="single" w:sz="4" w:space="0" w:color="000000"/>
              <w:left w:val="nil"/>
              <w:bottom w:val="single" w:sz="4" w:space="0" w:color="000000"/>
              <w:right w:val="nil"/>
            </w:tcBorders>
            <w:shd w:val="clear" w:color="auto" w:fill="000000"/>
          </w:tcPr>
          <w:p w:rsidR="0024051E" w:rsidRPr="009549EF" w:rsidRDefault="0024051E" w:rsidP="00D75F90">
            <w:pPr>
              <w:pStyle w:val="BodyText"/>
              <w:rPr>
                <w:b/>
                <w:bCs/>
                <w:color w:val="FFFFFF"/>
              </w:rPr>
            </w:pPr>
            <w:r w:rsidRPr="009549EF">
              <w:rPr>
                <w:b/>
                <w:bCs/>
                <w:color w:val="FFFFFF"/>
              </w:rPr>
              <w:t xml:space="preserve">Expenditure 2018–19 (excl. GST) </w:t>
            </w:r>
          </w:p>
        </w:tc>
        <w:tc>
          <w:tcPr>
            <w:tcW w:w="1426" w:type="dxa"/>
            <w:tcBorders>
              <w:top w:val="single" w:sz="4" w:space="0" w:color="000000"/>
              <w:left w:val="nil"/>
              <w:bottom w:val="single" w:sz="4" w:space="0" w:color="000000"/>
              <w:right w:val="single" w:sz="4" w:space="0" w:color="000000"/>
            </w:tcBorders>
            <w:shd w:val="clear" w:color="auto" w:fill="000000"/>
          </w:tcPr>
          <w:p w:rsidR="0024051E" w:rsidRPr="009549EF" w:rsidRDefault="0024051E" w:rsidP="00D75F90">
            <w:pPr>
              <w:pStyle w:val="BodyText"/>
              <w:rPr>
                <w:b/>
                <w:bCs/>
                <w:color w:val="FFFFFF"/>
              </w:rPr>
            </w:pPr>
            <w:r w:rsidRPr="009549EF">
              <w:rPr>
                <w:b/>
                <w:bCs/>
                <w:color w:val="FFFFFF"/>
              </w:rPr>
              <w:t xml:space="preserve">Future Expenditure (excl. GST) </w:t>
            </w:r>
          </w:p>
        </w:tc>
      </w:tr>
      <w:tr w:rsidR="009549EF" w:rsidRPr="009549EF" w:rsidTr="00C30441">
        <w:trPr>
          <w:trHeight w:val="608"/>
        </w:trPr>
        <w:tc>
          <w:tcPr>
            <w:tcW w:w="1313" w:type="dxa"/>
            <w:shd w:val="clear" w:color="auto" w:fill="FFFFFF" w:themeFill="background1"/>
          </w:tcPr>
          <w:p w:rsidR="0024051E" w:rsidRDefault="0024051E" w:rsidP="00D75F90">
            <w:pPr>
              <w:pStyle w:val="BodyText"/>
            </w:pPr>
            <w:r w:rsidRPr="009549EF">
              <w:rPr>
                <w:sz w:val="16"/>
                <w:szCs w:val="16"/>
              </w:rPr>
              <w:t>ARC PUBLIC PTY LTD</w:t>
            </w:r>
          </w:p>
        </w:tc>
        <w:tc>
          <w:tcPr>
            <w:tcW w:w="1852" w:type="dxa"/>
            <w:shd w:val="clear" w:color="auto" w:fill="FFFFFF" w:themeFill="background1"/>
          </w:tcPr>
          <w:p w:rsidR="0024051E" w:rsidRDefault="0024051E" w:rsidP="00D75F90">
            <w:pPr>
              <w:pStyle w:val="BodyText"/>
            </w:pPr>
            <w:r>
              <w:t>Strategic Communications</w:t>
            </w:r>
          </w:p>
        </w:tc>
        <w:tc>
          <w:tcPr>
            <w:tcW w:w="1285" w:type="dxa"/>
            <w:shd w:val="clear" w:color="auto" w:fill="FFFFFF" w:themeFill="background1"/>
          </w:tcPr>
          <w:p w:rsidR="0024051E" w:rsidRDefault="0024051E" w:rsidP="00D75F90">
            <w:pPr>
              <w:pStyle w:val="BodyText"/>
            </w:pPr>
            <w:r>
              <w:t>22/05/2019</w:t>
            </w:r>
          </w:p>
        </w:tc>
        <w:tc>
          <w:tcPr>
            <w:tcW w:w="1323" w:type="dxa"/>
            <w:shd w:val="clear" w:color="auto" w:fill="FFFFFF" w:themeFill="background1"/>
          </w:tcPr>
          <w:p w:rsidR="0024051E" w:rsidRDefault="0024051E" w:rsidP="00D75F90">
            <w:pPr>
              <w:pStyle w:val="BodyText"/>
            </w:pPr>
            <w:r>
              <w:t>30/06/2019</w:t>
            </w:r>
          </w:p>
        </w:tc>
        <w:tc>
          <w:tcPr>
            <w:tcW w:w="1190" w:type="dxa"/>
            <w:shd w:val="clear" w:color="auto" w:fill="FFFFFF" w:themeFill="background1"/>
          </w:tcPr>
          <w:p w:rsidR="0024051E" w:rsidRDefault="0024051E" w:rsidP="00D75F90">
            <w:pPr>
              <w:pStyle w:val="BodyText"/>
            </w:pPr>
            <w:r>
              <w:t>42,000</w:t>
            </w:r>
          </w:p>
        </w:tc>
        <w:tc>
          <w:tcPr>
            <w:tcW w:w="1399" w:type="dxa"/>
            <w:shd w:val="clear" w:color="auto" w:fill="FFFFFF" w:themeFill="background1"/>
          </w:tcPr>
          <w:p w:rsidR="0024051E" w:rsidRDefault="0024051E" w:rsidP="00D75F90">
            <w:pPr>
              <w:pStyle w:val="BodyText"/>
            </w:pPr>
            <w:r>
              <w:t>14,000</w:t>
            </w:r>
          </w:p>
        </w:tc>
        <w:tc>
          <w:tcPr>
            <w:tcW w:w="1426" w:type="dxa"/>
            <w:shd w:val="clear" w:color="auto" w:fill="FFFFFF" w:themeFill="background1"/>
          </w:tcPr>
          <w:p w:rsidR="0024051E" w:rsidRDefault="0024051E" w:rsidP="00D75F90">
            <w:pPr>
              <w:pStyle w:val="BodyText"/>
            </w:pPr>
            <w:r>
              <w:t>28,000</w:t>
            </w:r>
          </w:p>
        </w:tc>
      </w:tr>
      <w:tr w:rsidR="009549EF" w:rsidRPr="009549EF" w:rsidTr="00C30441">
        <w:trPr>
          <w:trHeight w:val="588"/>
        </w:trPr>
        <w:tc>
          <w:tcPr>
            <w:tcW w:w="1313" w:type="dxa"/>
            <w:shd w:val="clear" w:color="auto" w:fill="FFFFFF" w:themeFill="background1"/>
          </w:tcPr>
          <w:p w:rsidR="0024051E" w:rsidRDefault="0024051E" w:rsidP="00D75F90">
            <w:pPr>
              <w:pStyle w:val="BodyText"/>
            </w:pPr>
            <w:r w:rsidRPr="009549EF">
              <w:rPr>
                <w:sz w:val="16"/>
                <w:szCs w:val="16"/>
              </w:rPr>
              <w:t>CODE FOR AUS PTY LTD</w:t>
            </w:r>
          </w:p>
        </w:tc>
        <w:tc>
          <w:tcPr>
            <w:tcW w:w="1852" w:type="dxa"/>
            <w:shd w:val="clear" w:color="auto" w:fill="FFFFFF" w:themeFill="background1"/>
          </w:tcPr>
          <w:p w:rsidR="0024051E" w:rsidRDefault="0024051E" w:rsidP="00D75F90">
            <w:pPr>
              <w:pStyle w:val="BodyText"/>
            </w:pPr>
            <w:r>
              <w:t>Digital lab</w:t>
            </w:r>
          </w:p>
        </w:tc>
        <w:tc>
          <w:tcPr>
            <w:tcW w:w="1285" w:type="dxa"/>
            <w:shd w:val="clear" w:color="auto" w:fill="FFFFFF" w:themeFill="background1"/>
          </w:tcPr>
          <w:p w:rsidR="0024051E" w:rsidRDefault="0024051E" w:rsidP="00D75F90">
            <w:pPr>
              <w:pStyle w:val="BodyText"/>
            </w:pPr>
            <w:r>
              <w:t>7/06/2018</w:t>
            </w:r>
          </w:p>
        </w:tc>
        <w:tc>
          <w:tcPr>
            <w:tcW w:w="1323" w:type="dxa"/>
            <w:shd w:val="clear" w:color="auto" w:fill="FFFFFF" w:themeFill="background1"/>
          </w:tcPr>
          <w:p w:rsidR="0024051E" w:rsidRDefault="0024051E" w:rsidP="00D75F90">
            <w:pPr>
              <w:pStyle w:val="BodyText"/>
            </w:pPr>
            <w:r>
              <w:t>2/01/2019</w:t>
            </w:r>
          </w:p>
        </w:tc>
        <w:tc>
          <w:tcPr>
            <w:tcW w:w="1190" w:type="dxa"/>
            <w:shd w:val="clear" w:color="auto" w:fill="FFFFFF" w:themeFill="background1"/>
          </w:tcPr>
          <w:p w:rsidR="0024051E" w:rsidRDefault="0024051E" w:rsidP="00D75F90">
            <w:pPr>
              <w:pStyle w:val="BodyText"/>
            </w:pPr>
            <w:r>
              <w:t>180,000</w:t>
            </w:r>
          </w:p>
        </w:tc>
        <w:tc>
          <w:tcPr>
            <w:tcW w:w="1399" w:type="dxa"/>
            <w:shd w:val="clear" w:color="auto" w:fill="FFFFFF" w:themeFill="background1"/>
          </w:tcPr>
          <w:p w:rsidR="0024051E" w:rsidRDefault="0024051E" w:rsidP="00D75F90">
            <w:pPr>
              <w:pStyle w:val="BodyText"/>
            </w:pPr>
            <w:r>
              <w:t>120,000</w:t>
            </w:r>
          </w:p>
        </w:tc>
        <w:tc>
          <w:tcPr>
            <w:tcW w:w="1426" w:type="dxa"/>
            <w:shd w:val="clear" w:color="auto" w:fill="FFFFFF" w:themeFill="background1"/>
          </w:tcPr>
          <w:p w:rsidR="0024051E" w:rsidRDefault="0024051E" w:rsidP="00D75F90">
            <w:pPr>
              <w:pStyle w:val="BodyText"/>
            </w:pPr>
            <w:r>
              <w:rPr>
                <w:rtl/>
                <w:lang w:bidi="ar-YE"/>
              </w:rPr>
              <w:t> </w:t>
            </w:r>
          </w:p>
        </w:tc>
      </w:tr>
      <w:tr w:rsidR="009549EF" w:rsidRPr="009549EF" w:rsidTr="00C30441">
        <w:trPr>
          <w:trHeight w:val="1048"/>
        </w:trPr>
        <w:tc>
          <w:tcPr>
            <w:tcW w:w="1313" w:type="dxa"/>
            <w:shd w:val="clear" w:color="auto" w:fill="FFFFFF" w:themeFill="background1"/>
          </w:tcPr>
          <w:p w:rsidR="0024051E" w:rsidRDefault="0024051E" w:rsidP="00D75F90">
            <w:pPr>
              <w:pStyle w:val="BodyText"/>
            </w:pPr>
            <w:r w:rsidRPr="009549EF">
              <w:rPr>
                <w:sz w:val="16"/>
                <w:szCs w:val="16"/>
              </w:rPr>
              <w:t>SOCIAL VENTURES AUST LTD</w:t>
            </w:r>
          </w:p>
        </w:tc>
        <w:tc>
          <w:tcPr>
            <w:tcW w:w="1852" w:type="dxa"/>
            <w:shd w:val="clear" w:color="auto" w:fill="FFFFFF" w:themeFill="background1"/>
          </w:tcPr>
          <w:p w:rsidR="0024051E" w:rsidRDefault="0024051E" w:rsidP="00D75F90">
            <w:pPr>
              <w:pStyle w:val="BodyText"/>
            </w:pPr>
            <w:r>
              <w:t>Review of consulting model and review function</w:t>
            </w:r>
          </w:p>
        </w:tc>
        <w:tc>
          <w:tcPr>
            <w:tcW w:w="1285" w:type="dxa"/>
            <w:shd w:val="clear" w:color="auto" w:fill="FFFFFF" w:themeFill="background1"/>
          </w:tcPr>
          <w:p w:rsidR="0024051E" w:rsidRDefault="0024051E" w:rsidP="00D75F90">
            <w:pPr>
              <w:pStyle w:val="BodyText"/>
            </w:pPr>
            <w:r>
              <w:t>14/05/2018</w:t>
            </w:r>
          </w:p>
        </w:tc>
        <w:tc>
          <w:tcPr>
            <w:tcW w:w="1323" w:type="dxa"/>
            <w:shd w:val="clear" w:color="auto" w:fill="FFFFFF" w:themeFill="background1"/>
          </w:tcPr>
          <w:p w:rsidR="0024051E" w:rsidRDefault="0024051E" w:rsidP="00D75F90">
            <w:pPr>
              <w:pStyle w:val="BodyText"/>
            </w:pPr>
            <w:r>
              <w:t>24/08/2018</w:t>
            </w:r>
          </w:p>
        </w:tc>
        <w:tc>
          <w:tcPr>
            <w:tcW w:w="1190" w:type="dxa"/>
            <w:shd w:val="clear" w:color="auto" w:fill="FFFFFF" w:themeFill="background1"/>
          </w:tcPr>
          <w:p w:rsidR="0024051E" w:rsidRDefault="0024051E" w:rsidP="00D75F90">
            <w:pPr>
              <w:pStyle w:val="BodyText"/>
            </w:pPr>
            <w:r>
              <w:t>77,225</w:t>
            </w:r>
          </w:p>
        </w:tc>
        <w:tc>
          <w:tcPr>
            <w:tcW w:w="1399" w:type="dxa"/>
            <w:shd w:val="clear" w:color="auto" w:fill="FFFFFF" w:themeFill="background1"/>
          </w:tcPr>
          <w:p w:rsidR="0024051E" w:rsidRDefault="0024051E" w:rsidP="00D75F90">
            <w:pPr>
              <w:pStyle w:val="BodyText"/>
            </w:pPr>
            <w:r>
              <w:t>38,669</w:t>
            </w:r>
          </w:p>
        </w:tc>
        <w:tc>
          <w:tcPr>
            <w:tcW w:w="1426" w:type="dxa"/>
            <w:shd w:val="clear" w:color="auto" w:fill="FFFFFF" w:themeFill="background1"/>
          </w:tcPr>
          <w:p w:rsidR="0024051E" w:rsidRDefault="0024051E" w:rsidP="00D75F90">
            <w:pPr>
              <w:pStyle w:val="BodyText"/>
            </w:pPr>
            <w:r>
              <w:t xml:space="preserve">             - </w:t>
            </w:r>
          </w:p>
        </w:tc>
      </w:tr>
      <w:tr w:rsidR="009549EF" w:rsidRPr="009549EF" w:rsidTr="00C30441">
        <w:trPr>
          <w:trHeight w:val="788"/>
        </w:trPr>
        <w:tc>
          <w:tcPr>
            <w:tcW w:w="1313" w:type="dxa"/>
            <w:shd w:val="clear" w:color="auto" w:fill="FFFFFF" w:themeFill="background1"/>
          </w:tcPr>
          <w:p w:rsidR="0024051E" w:rsidRDefault="0024051E" w:rsidP="00D75F90">
            <w:pPr>
              <w:pStyle w:val="BodyText"/>
            </w:pPr>
            <w:r w:rsidRPr="009549EF">
              <w:rPr>
                <w:sz w:val="16"/>
                <w:szCs w:val="16"/>
              </w:rPr>
              <w:t>SOCIAL VENTURES AUST LTD</w:t>
            </w:r>
          </w:p>
        </w:tc>
        <w:tc>
          <w:tcPr>
            <w:tcW w:w="1852" w:type="dxa"/>
            <w:shd w:val="clear" w:color="auto" w:fill="FFFFFF" w:themeFill="background1"/>
          </w:tcPr>
          <w:p w:rsidR="0024051E" w:rsidRDefault="0024051E" w:rsidP="00D75F90">
            <w:pPr>
              <w:pStyle w:val="BodyText"/>
            </w:pPr>
            <w:r>
              <w:t>Complementary measures project</w:t>
            </w:r>
          </w:p>
        </w:tc>
        <w:tc>
          <w:tcPr>
            <w:tcW w:w="1285" w:type="dxa"/>
            <w:shd w:val="clear" w:color="auto" w:fill="FFFFFF" w:themeFill="background1"/>
          </w:tcPr>
          <w:p w:rsidR="0024051E" w:rsidRDefault="0024051E" w:rsidP="00D75F90">
            <w:pPr>
              <w:pStyle w:val="BodyText"/>
            </w:pPr>
            <w:r>
              <w:t>22/05/2018</w:t>
            </w:r>
          </w:p>
        </w:tc>
        <w:tc>
          <w:tcPr>
            <w:tcW w:w="1323" w:type="dxa"/>
            <w:shd w:val="clear" w:color="auto" w:fill="FFFFFF" w:themeFill="background1"/>
          </w:tcPr>
          <w:p w:rsidR="0024051E" w:rsidRDefault="0024051E" w:rsidP="00D75F90">
            <w:pPr>
              <w:pStyle w:val="BodyText"/>
            </w:pPr>
            <w:r>
              <w:t>17/05/2019</w:t>
            </w:r>
          </w:p>
        </w:tc>
        <w:tc>
          <w:tcPr>
            <w:tcW w:w="1190" w:type="dxa"/>
            <w:shd w:val="clear" w:color="auto" w:fill="FFFFFF" w:themeFill="background1"/>
          </w:tcPr>
          <w:p w:rsidR="0024051E" w:rsidRDefault="0024051E" w:rsidP="00D75F90">
            <w:pPr>
              <w:pStyle w:val="BodyText"/>
            </w:pPr>
            <w:r>
              <w:t>104,581</w:t>
            </w:r>
          </w:p>
        </w:tc>
        <w:tc>
          <w:tcPr>
            <w:tcW w:w="1399" w:type="dxa"/>
            <w:shd w:val="clear" w:color="auto" w:fill="FFFFFF" w:themeFill="background1"/>
          </w:tcPr>
          <w:p w:rsidR="0024051E" w:rsidRDefault="0024051E" w:rsidP="00D75F90">
            <w:pPr>
              <w:pStyle w:val="BodyText"/>
            </w:pPr>
            <w:r>
              <w:t xml:space="preserve">            - </w:t>
            </w:r>
          </w:p>
        </w:tc>
        <w:tc>
          <w:tcPr>
            <w:tcW w:w="1426" w:type="dxa"/>
            <w:shd w:val="clear" w:color="auto" w:fill="FFFFFF" w:themeFill="background1"/>
          </w:tcPr>
          <w:p w:rsidR="0024051E" w:rsidRDefault="0024051E" w:rsidP="00D75F90">
            <w:pPr>
              <w:pStyle w:val="BodyText"/>
            </w:pPr>
            <w:r>
              <w:t>52,291</w:t>
            </w:r>
          </w:p>
        </w:tc>
      </w:tr>
      <w:tr w:rsidR="009549EF" w:rsidRPr="009549EF" w:rsidTr="00C30441">
        <w:trPr>
          <w:trHeight w:val="988"/>
        </w:trPr>
        <w:tc>
          <w:tcPr>
            <w:tcW w:w="1313" w:type="dxa"/>
            <w:shd w:val="clear" w:color="auto" w:fill="FFFFFF" w:themeFill="background1"/>
          </w:tcPr>
          <w:p w:rsidR="0024051E" w:rsidRDefault="0024051E" w:rsidP="00D75F90">
            <w:pPr>
              <w:pStyle w:val="BodyText"/>
            </w:pPr>
            <w:r w:rsidRPr="009549EF">
              <w:rPr>
                <w:sz w:val="16"/>
                <w:szCs w:val="16"/>
              </w:rPr>
              <w:t>TODAY STRATEGIC DESIGN PTY LTD</w:t>
            </w:r>
          </w:p>
        </w:tc>
        <w:tc>
          <w:tcPr>
            <w:tcW w:w="1852" w:type="dxa"/>
            <w:shd w:val="clear" w:color="auto" w:fill="FFFFFF" w:themeFill="background1"/>
          </w:tcPr>
          <w:p w:rsidR="0024051E" w:rsidRDefault="0024051E" w:rsidP="00D75F90">
            <w:pPr>
              <w:pStyle w:val="BodyText"/>
            </w:pPr>
            <w:r>
              <w:t>Raise it! Prototypes</w:t>
            </w:r>
          </w:p>
        </w:tc>
        <w:tc>
          <w:tcPr>
            <w:tcW w:w="1285" w:type="dxa"/>
            <w:shd w:val="clear" w:color="auto" w:fill="FFFFFF" w:themeFill="background1"/>
          </w:tcPr>
          <w:p w:rsidR="0024051E" w:rsidRDefault="0024051E" w:rsidP="00D75F90">
            <w:pPr>
              <w:pStyle w:val="BodyText"/>
            </w:pPr>
            <w:r>
              <w:t>20/09/2018</w:t>
            </w:r>
          </w:p>
        </w:tc>
        <w:tc>
          <w:tcPr>
            <w:tcW w:w="1323" w:type="dxa"/>
            <w:shd w:val="clear" w:color="auto" w:fill="FFFFFF" w:themeFill="background1"/>
          </w:tcPr>
          <w:p w:rsidR="0024051E" w:rsidRDefault="0024051E" w:rsidP="00D75F90">
            <w:pPr>
              <w:pStyle w:val="BodyText"/>
            </w:pPr>
            <w:r>
              <w:t>30/10/2018</w:t>
            </w:r>
          </w:p>
        </w:tc>
        <w:tc>
          <w:tcPr>
            <w:tcW w:w="1190" w:type="dxa"/>
            <w:shd w:val="clear" w:color="auto" w:fill="FFFFFF" w:themeFill="background1"/>
          </w:tcPr>
          <w:p w:rsidR="0024051E" w:rsidRDefault="0024051E" w:rsidP="00D75F90">
            <w:pPr>
              <w:pStyle w:val="BodyText"/>
            </w:pPr>
            <w:r>
              <w:t>38,110</w:t>
            </w:r>
          </w:p>
        </w:tc>
        <w:tc>
          <w:tcPr>
            <w:tcW w:w="1399" w:type="dxa"/>
            <w:shd w:val="clear" w:color="auto" w:fill="FFFFFF" w:themeFill="background1"/>
          </w:tcPr>
          <w:p w:rsidR="0024051E" w:rsidRDefault="0024051E" w:rsidP="00D75F90">
            <w:pPr>
              <w:pStyle w:val="BodyText"/>
            </w:pPr>
            <w:r>
              <w:t>38,110</w:t>
            </w:r>
          </w:p>
        </w:tc>
        <w:tc>
          <w:tcPr>
            <w:tcW w:w="1426" w:type="dxa"/>
            <w:shd w:val="clear" w:color="auto" w:fill="FFFFFF" w:themeFill="background1"/>
          </w:tcPr>
          <w:p w:rsidR="0024051E" w:rsidRDefault="0024051E" w:rsidP="00D75F90">
            <w:pPr>
              <w:pStyle w:val="BodyText"/>
            </w:pPr>
            <w:r>
              <w:t xml:space="preserve">             - </w:t>
            </w:r>
          </w:p>
        </w:tc>
      </w:tr>
      <w:tr w:rsidR="009549EF" w:rsidRPr="009549EF" w:rsidTr="00C30441">
        <w:trPr>
          <w:trHeight w:val="1048"/>
        </w:trPr>
        <w:tc>
          <w:tcPr>
            <w:tcW w:w="1313" w:type="dxa"/>
            <w:shd w:val="clear" w:color="auto" w:fill="FFFFFF" w:themeFill="background1"/>
          </w:tcPr>
          <w:p w:rsidR="0024051E" w:rsidRDefault="0024051E" w:rsidP="00D75F90">
            <w:pPr>
              <w:pStyle w:val="BodyText"/>
            </w:pPr>
            <w:r w:rsidRPr="009549EF">
              <w:rPr>
                <w:sz w:val="16"/>
                <w:szCs w:val="16"/>
              </w:rPr>
              <w:t>ORIMA RESEARCH</w:t>
            </w:r>
          </w:p>
        </w:tc>
        <w:tc>
          <w:tcPr>
            <w:tcW w:w="1852" w:type="dxa"/>
            <w:shd w:val="clear" w:color="auto" w:fill="FFFFFF" w:themeFill="background1"/>
          </w:tcPr>
          <w:p w:rsidR="0024051E" w:rsidRDefault="0024051E" w:rsidP="00D75F90">
            <w:pPr>
              <w:pStyle w:val="BodyText"/>
            </w:pPr>
            <w:r>
              <w:t>Survey consultant for the 2018 Charter Report</w:t>
            </w:r>
          </w:p>
        </w:tc>
        <w:tc>
          <w:tcPr>
            <w:tcW w:w="1285" w:type="dxa"/>
            <w:shd w:val="clear" w:color="auto" w:fill="FFFFFF" w:themeFill="background1"/>
          </w:tcPr>
          <w:p w:rsidR="0024051E" w:rsidRDefault="0024051E" w:rsidP="00D75F90">
            <w:pPr>
              <w:pStyle w:val="BodyText"/>
            </w:pPr>
            <w:r>
              <w:t>21/12/2018</w:t>
            </w:r>
          </w:p>
        </w:tc>
        <w:tc>
          <w:tcPr>
            <w:tcW w:w="1323" w:type="dxa"/>
            <w:shd w:val="clear" w:color="auto" w:fill="FFFFFF" w:themeFill="background1"/>
          </w:tcPr>
          <w:p w:rsidR="0024051E" w:rsidRDefault="0024051E" w:rsidP="00D75F90">
            <w:pPr>
              <w:pStyle w:val="BodyText"/>
            </w:pPr>
            <w:r>
              <w:t>30/06/2019</w:t>
            </w:r>
          </w:p>
        </w:tc>
        <w:tc>
          <w:tcPr>
            <w:tcW w:w="1190" w:type="dxa"/>
            <w:shd w:val="clear" w:color="auto" w:fill="FFFFFF" w:themeFill="background1"/>
          </w:tcPr>
          <w:p w:rsidR="0024051E" w:rsidRDefault="0024051E" w:rsidP="00D75F90">
            <w:pPr>
              <w:pStyle w:val="BodyText"/>
            </w:pPr>
            <w:r>
              <w:t>25,000</w:t>
            </w:r>
          </w:p>
        </w:tc>
        <w:tc>
          <w:tcPr>
            <w:tcW w:w="1399" w:type="dxa"/>
            <w:shd w:val="clear" w:color="auto" w:fill="FFFFFF" w:themeFill="background1"/>
          </w:tcPr>
          <w:p w:rsidR="0024051E" w:rsidRDefault="0024051E" w:rsidP="00D75F90">
            <w:pPr>
              <w:pStyle w:val="BodyText"/>
            </w:pPr>
            <w:r>
              <w:t>25,000</w:t>
            </w:r>
          </w:p>
        </w:tc>
        <w:tc>
          <w:tcPr>
            <w:tcW w:w="1426" w:type="dxa"/>
            <w:shd w:val="clear" w:color="auto" w:fill="FFFFFF" w:themeFill="background1"/>
          </w:tcPr>
          <w:p w:rsidR="0024051E" w:rsidRDefault="0024051E" w:rsidP="00D75F90">
            <w:pPr>
              <w:pStyle w:val="BodyText"/>
            </w:pPr>
            <w:r>
              <w:t xml:space="preserve">             - </w:t>
            </w:r>
          </w:p>
        </w:tc>
      </w:tr>
      <w:tr w:rsidR="009549EF" w:rsidRPr="009549EF" w:rsidTr="00C30441">
        <w:trPr>
          <w:trHeight w:val="1259"/>
        </w:trPr>
        <w:tc>
          <w:tcPr>
            <w:tcW w:w="1313" w:type="dxa"/>
            <w:shd w:val="clear" w:color="auto" w:fill="FFFFFF" w:themeFill="background1"/>
          </w:tcPr>
          <w:p w:rsidR="0024051E" w:rsidRDefault="0024051E" w:rsidP="00D75F90">
            <w:pPr>
              <w:pStyle w:val="BodyText"/>
            </w:pPr>
            <w:r w:rsidRPr="009549EF">
              <w:rPr>
                <w:sz w:val="16"/>
                <w:szCs w:val="16"/>
              </w:rPr>
              <w:t>THE TRUSTEE FOR ACTUARIAL EDGE UNIT TRUST</w:t>
            </w:r>
          </w:p>
        </w:tc>
        <w:tc>
          <w:tcPr>
            <w:tcW w:w="1852" w:type="dxa"/>
            <w:shd w:val="clear" w:color="auto" w:fill="FFFFFF" w:themeFill="background1"/>
          </w:tcPr>
          <w:p w:rsidR="0024051E" w:rsidRDefault="0024051E" w:rsidP="00D75F90">
            <w:pPr>
              <w:pStyle w:val="BodyText"/>
            </w:pPr>
            <w:r>
              <w:t xml:space="preserve">Consultant – travel insurance investigation </w:t>
            </w:r>
          </w:p>
        </w:tc>
        <w:tc>
          <w:tcPr>
            <w:tcW w:w="1285" w:type="dxa"/>
            <w:shd w:val="clear" w:color="auto" w:fill="FFFFFF" w:themeFill="background1"/>
          </w:tcPr>
          <w:p w:rsidR="0024051E" w:rsidRDefault="0024051E" w:rsidP="00D75F90">
            <w:pPr>
              <w:pStyle w:val="BodyText"/>
            </w:pPr>
            <w:r>
              <w:t>1/02/2017</w:t>
            </w:r>
          </w:p>
        </w:tc>
        <w:tc>
          <w:tcPr>
            <w:tcW w:w="1323" w:type="dxa"/>
            <w:shd w:val="clear" w:color="auto" w:fill="FFFFFF" w:themeFill="background1"/>
          </w:tcPr>
          <w:p w:rsidR="0024051E" w:rsidRDefault="0024051E" w:rsidP="00D75F90">
            <w:pPr>
              <w:pStyle w:val="BodyText"/>
            </w:pPr>
            <w:r>
              <w:t>21/08/2018</w:t>
            </w:r>
          </w:p>
        </w:tc>
        <w:tc>
          <w:tcPr>
            <w:tcW w:w="1190" w:type="dxa"/>
            <w:shd w:val="clear" w:color="auto" w:fill="FFFFFF" w:themeFill="background1"/>
          </w:tcPr>
          <w:p w:rsidR="0024051E" w:rsidRDefault="0024051E" w:rsidP="00D75F90">
            <w:pPr>
              <w:pStyle w:val="BodyText"/>
            </w:pPr>
            <w:r>
              <w:t>30,000</w:t>
            </w:r>
          </w:p>
        </w:tc>
        <w:tc>
          <w:tcPr>
            <w:tcW w:w="1399" w:type="dxa"/>
            <w:shd w:val="clear" w:color="auto" w:fill="FFFFFF" w:themeFill="background1"/>
          </w:tcPr>
          <w:p w:rsidR="0024051E" w:rsidRDefault="0024051E" w:rsidP="00D75F90">
            <w:pPr>
              <w:pStyle w:val="BodyText"/>
            </w:pPr>
            <w:r>
              <w:t>21,950</w:t>
            </w:r>
          </w:p>
        </w:tc>
        <w:tc>
          <w:tcPr>
            <w:tcW w:w="1426" w:type="dxa"/>
            <w:shd w:val="clear" w:color="auto" w:fill="FFFFFF" w:themeFill="background1"/>
          </w:tcPr>
          <w:p w:rsidR="0024051E" w:rsidRDefault="0024051E" w:rsidP="00D75F90">
            <w:pPr>
              <w:pStyle w:val="BodyText"/>
            </w:pPr>
            <w:r>
              <w:t>8,050</w:t>
            </w:r>
          </w:p>
        </w:tc>
      </w:tr>
      <w:tr w:rsidR="009549EF" w:rsidRPr="009549EF" w:rsidTr="00C30441">
        <w:trPr>
          <w:trHeight w:val="1048"/>
        </w:trPr>
        <w:tc>
          <w:tcPr>
            <w:tcW w:w="1313" w:type="dxa"/>
            <w:shd w:val="clear" w:color="auto" w:fill="FFFFFF" w:themeFill="background1"/>
          </w:tcPr>
          <w:p w:rsidR="0024051E" w:rsidRDefault="0024051E" w:rsidP="00D75F90">
            <w:pPr>
              <w:pStyle w:val="BodyText"/>
            </w:pPr>
            <w:r w:rsidRPr="009549EF">
              <w:rPr>
                <w:sz w:val="16"/>
                <w:szCs w:val="16"/>
              </w:rPr>
              <w:t>ONE FINE MORNING</w:t>
            </w:r>
          </w:p>
        </w:tc>
        <w:tc>
          <w:tcPr>
            <w:tcW w:w="1852" w:type="dxa"/>
            <w:shd w:val="clear" w:color="auto" w:fill="FFFFFF" w:themeFill="background1"/>
          </w:tcPr>
          <w:p w:rsidR="0024051E" w:rsidRDefault="0024051E" w:rsidP="00D75F90">
            <w:pPr>
              <w:pStyle w:val="BodyText"/>
            </w:pPr>
            <w:r>
              <w:t>Preparation of the Commission’s policy and law reform agenda</w:t>
            </w:r>
          </w:p>
        </w:tc>
        <w:tc>
          <w:tcPr>
            <w:tcW w:w="1285" w:type="dxa"/>
            <w:shd w:val="clear" w:color="auto" w:fill="FFFFFF" w:themeFill="background1"/>
          </w:tcPr>
          <w:p w:rsidR="0024051E" w:rsidRDefault="0024051E" w:rsidP="00D75F90">
            <w:pPr>
              <w:pStyle w:val="BodyText"/>
            </w:pPr>
            <w:r>
              <w:t>12/12/2018</w:t>
            </w:r>
          </w:p>
        </w:tc>
        <w:tc>
          <w:tcPr>
            <w:tcW w:w="1323" w:type="dxa"/>
            <w:shd w:val="clear" w:color="auto" w:fill="FFFFFF" w:themeFill="background1"/>
          </w:tcPr>
          <w:p w:rsidR="0024051E" w:rsidRDefault="0024051E" w:rsidP="00D75F90">
            <w:pPr>
              <w:pStyle w:val="BodyText"/>
            </w:pPr>
            <w:r>
              <w:t>31/01/2019</w:t>
            </w:r>
          </w:p>
        </w:tc>
        <w:tc>
          <w:tcPr>
            <w:tcW w:w="1190" w:type="dxa"/>
            <w:shd w:val="clear" w:color="auto" w:fill="FFFFFF" w:themeFill="background1"/>
          </w:tcPr>
          <w:p w:rsidR="0024051E" w:rsidRDefault="0024051E" w:rsidP="00D75F90">
            <w:pPr>
              <w:pStyle w:val="BodyText"/>
            </w:pPr>
            <w:r>
              <w:t>12,500</w:t>
            </w:r>
          </w:p>
        </w:tc>
        <w:tc>
          <w:tcPr>
            <w:tcW w:w="1399" w:type="dxa"/>
            <w:shd w:val="clear" w:color="auto" w:fill="FFFFFF" w:themeFill="background1"/>
          </w:tcPr>
          <w:p w:rsidR="0024051E" w:rsidRDefault="0024051E" w:rsidP="00D75F90">
            <w:pPr>
              <w:pStyle w:val="BodyText"/>
            </w:pPr>
            <w:r>
              <w:t>12,500</w:t>
            </w:r>
          </w:p>
        </w:tc>
        <w:tc>
          <w:tcPr>
            <w:tcW w:w="1426" w:type="dxa"/>
            <w:shd w:val="clear" w:color="auto" w:fill="FFFFFF" w:themeFill="background1"/>
          </w:tcPr>
          <w:p w:rsidR="0024051E" w:rsidRDefault="0024051E" w:rsidP="00D75F90">
            <w:pPr>
              <w:pStyle w:val="BodyText"/>
            </w:pPr>
            <w:r>
              <w:t xml:space="preserve">             - </w:t>
            </w:r>
          </w:p>
        </w:tc>
      </w:tr>
      <w:tr w:rsidR="009549EF" w:rsidRPr="009549EF" w:rsidTr="00C30441">
        <w:trPr>
          <w:trHeight w:val="608"/>
        </w:trPr>
        <w:tc>
          <w:tcPr>
            <w:tcW w:w="1313" w:type="dxa"/>
            <w:shd w:val="clear" w:color="auto" w:fill="FFFFFF" w:themeFill="background1"/>
          </w:tcPr>
          <w:p w:rsidR="0024051E" w:rsidRDefault="0024051E" w:rsidP="00D75F90">
            <w:pPr>
              <w:pStyle w:val="BodyText"/>
            </w:pPr>
            <w:r w:rsidRPr="009549EF">
              <w:rPr>
                <w:sz w:val="16"/>
                <w:szCs w:val="16"/>
              </w:rPr>
              <w:t>ONE FINE MORNING</w:t>
            </w:r>
          </w:p>
        </w:tc>
        <w:tc>
          <w:tcPr>
            <w:tcW w:w="1852" w:type="dxa"/>
            <w:shd w:val="clear" w:color="auto" w:fill="FFFFFF" w:themeFill="background1"/>
          </w:tcPr>
          <w:p w:rsidR="0024051E" w:rsidRDefault="0024051E" w:rsidP="00D75F90">
            <w:pPr>
              <w:pStyle w:val="BodyText"/>
            </w:pPr>
            <w:r>
              <w:t xml:space="preserve">Investigation </w:t>
            </w:r>
            <w:r>
              <w:lastRenderedPageBreak/>
              <w:t>report</w:t>
            </w:r>
          </w:p>
        </w:tc>
        <w:tc>
          <w:tcPr>
            <w:tcW w:w="1285" w:type="dxa"/>
            <w:shd w:val="clear" w:color="auto" w:fill="FFFFFF" w:themeFill="background1"/>
          </w:tcPr>
          <w:p w:rsidR="0024051E" w:rsidRDefault="0024051E" w:rsidP="00D75F90">
            <w:pPr>
              <w:pStyle w:val="BodyText"/>
            </w:pPr>
            <w:r>
              <w:lastRenderedPageBreak/>
              <w:t>25/01/201</w:t>
            </w:r>
            <w:r>
              <w:lastRenderedPageBreak/>
              <w:t>9</w:t>
            </w:r>
          </w:p>
        </w:tc>
        <w:tc>
          <w:tcPr>
            <w:tcW w:w="1323" w:type="dxa"/>
            <w:shd w:val="clear" w:color="auto" w:fill="FFFFFF" w:themeFill="background1"/>
          </w:tcPr>
          <w:p w:rsidR="0024051E" w:rsidRDefault="0024051E" w:rsidP="00D75F90">
            <w:pPr>
              <w:pStyle w:val="BodyText"/>
            </w:pPr>
            <w:r>
              <w:lastRenderedPageBreak/>
              <w:t>17/04/201</w:t>
            </w:r>
            <w:r>
              <w:lastRenderedPageBreak/>
              <w:t>9</w:t>
            </w:r>
          </w:p>
        </w:tc>
        <w:tc>
          <w:tcPr>
            <w:tcW w:w="1190" w:type="dxa"/>
            <w:shd w:val="clear" w:color="auto" w:fill="FFFFFF" w:themeFill="background1"/>
          </w:tcPr>
          <w:p w:rsidR="0024051E" w:rsidRDefault="0024051E" w:rsidP="00D75F90">
            <w:pPr>
              <w:pStyle w:val="BodyText"/>
            </w:pPr>
            <w:r>
              <w:lastRenderedPageBreak/>
              <w:t>12,500</w:t>
            </w:r>
          </w:p>
        </w:tc>
        <w:tc>
          <w:tcPr>
            <w:tcW w:w="1399" w:type="dxa"/>
            <w:shd w:val="clear" w:color="auto" w:fill="FFFFFF" w:themeFill="background1"/>
          </w:tcPr>
          <w:p w:rsidR="0024051E" w:rsidRDefault="0024051E" w:rsidP="00D75F90">
            <w:pPr>
              <w:pStyle w:val="BodyText"/>
            </w:pPr>
            <w:r>
              <w:t>12,500</w:t>
            </w:r>
          </w:p>
        </w:tc>
        <w:tc>
          <w:tcPr>
            <w:tcW w:w="1426" w:type="dxa"/>
            <w:shd w:val="clear" w:color="auto" w:fill="FFFFFF" w:themeFill="background1"/>
          </w:tcPr>
          <w:p w:rsidR="0024051E" w:rsidRDefault="0024051E" w:rsidP="00D75F90">
            <w:pPr>
              <w:pStyle w:val="BodyText"/>
            </w:pPr>
            <w:r>
              <w:t xml:space="preserve">             - </w:t>
            </w:r>
          </w:p>
        </w:tc>
      </w:tr>
      <w:tr w:rsidR="009549EF" w:rsidRPr="009549EF" w:rsidTr="00C30441">
        <w:trPr>
          <w:trHeight w:val="1488"/>
        </w:trPr>
        <w:tc>
          <w:tcPr>
            <w:tcW w:w="1313" w:type="dxa"/>
            <w:shd w:val="clear" w:color="auto" w:fill="FFFFFF" w:themeFill="background1"/>
          </w:tcPr>
          <w:p w:rsidR="0024051E" w:rsidRDefault="0024051E" w:rsidP="00D75F90">
            <w:pPr>
              <w:pStyle w:val="BodyText"/>
            </w:pPr>
            <w:r w:rsidRPr="009549EF">
              <w:rPr>
                <w:sz w:val="16"/>
                <w:szCs w:val="16"/>
              </w:rPr>
              <w:t>WORKING SMARTER</w:t>
            </w:r>
          </w:p>
        </w:tc>
        <w:tc>
          <w:tcPr>
            <w:tcW w:w="1852" w:type="dxa"/>
            <w:shd w:val="clear" w:color="auto" w:fill="FFFFFF" w:themeFill="background1"/>
          </w:tcPr>
          <w:p w:rsidR="0024051E" w:rsidRDefault="0024051E" w:rsidP="00D75F90">
            <w:pPr>
              <w:pStyle w:val="BodyText"/>
            </w:pPr>
            <w:r>
              <w:t>Consultancy Services - Diversity and inclusion diagnostic for Worksafe Victoria</w:t>
            </w:r>
          </w:p>
        </w:tc>
        <w:tc>
          <w:tcPr>
            <w:tcW w:w="1285" w:type="dxa"/>
            <w:shd w:val="clear" w:color="auto" w:fill="FFFFFF" w:themeFill="background1"/>
          </w:tcPr>
          <w:p w:rsidR="0024051E" w:rsidRDefault="0024051E" w:rsidP="00D75F90">
            <w:pPr>
              <w:pStyle w:val="BodyText"/>
            </w:pPr>
            <w:r>
              <w:t>7/01/2019</w:t>
            </w:r>
          </w:p>
        </w:tc>
        <w:tc>
          <w:tcPr>
            <w:tcW w:w="1323" w:type="dxa"/>
            <w:shd w:val="clear" w:color="auto" w:fill="FFFFFF" w:themeFill="background1"/>
          </w:tcPr>
          <w:p w:rsidR="0024051E" w:rsidRDefault="0024051E" w:rsidP="00D75F90">
            <w:pPr>
              <w:pStyle w:val="BodyText"/>
            </w:pPr>
            <w:r>
              <w:t>30/06/2019</w:t>
            </w:r>
          </w:p>
        </w:tc>
        <w:tc>
          <w:tcPr>
            <w:tcW w:w="1190" w:type="dxa"/>
            <w:shd w:val="clear" w:color="auto" w:fill="FFFFFF" w:themeFill="background1"/>
          </w:tcPr>
          <w:p w:rsidR="0024051E" w:rsidRDefault="0024051E" w:rsidP="00D75F90">
            <w:pPr>
              <w:pStyle w:val="BodyText"/>
            </w:pPr>
            <w:r>
              <w:t>21,420</w:t>
            </w:r>
          </w:p>
        </w:tc>
        <w:tc>
          <w:tcPr>
            <w:tcW w:w="1399" w:type="dxa"/>
            <w:shd w:val="clear" w:color="auto" w:fill="FFFFFF" w:themeFill="background1"/>
          </w:tcPr>
          <w:p w:rsidR="0024051E" w:rsidRDefault="0024051E" w:rsidP="00D75F90">
            <w:pPr>
              <w:pStyle w:val="BodyText"/>
            </w:pPr>
            <w:r>
              <w:t>21,420</w:t>
            </w:r>
          </w:p>
        </w:tc>
        <w:tc>
          <w:tcPr>
            <w:tcW w:w="1426" w:type="dxa"/>
            <w:shd w:val="clear" w:color="auto" w:fill="FFFFFF" w:themeFill="background1"/>
          </w:tcPr>
          <w:p w:rsidR="0024051E" w:rsidRDefault="0024051E" w:rsidP="00D75F90">
            <w:pPr>
              <w:pStyle w:val="BodyText"/>
            </w:pPr>
            <w:r>
              <w:t xml:space="preserve">             - </w:t>
            </w:r>
          </w:p>
        </w:tc>
      </w:tr>
      <w:tr w:rsidR="009549EF" w:rsidRPr="009549EF" w:rsidTr="00C30441">
        <w:trPr>
          <w:trHeight w:val="1048"/>
        </w:trPr>
        <w:tc>
          <w:tcPr>
            <w:tcW w:w="1313" w:type="dxa"/>
            <w:shd w:val="clear" w:color="auto" w:fill="FFFFFF" w:themeFill="background1"/>
          </w:tcPr>
          <w:p w:rsidR="0024051E" w:rsidRDefault="0024051E" w:rsidP="00D75F90">
            <w:pPr>
              <w:pStyle w:val="BodyText"/>
            </w:pPr>
            <w:r w:rsidRPr="009549EF">
              <w:rPr>
                <w:sz w:val="16"/>
                <w:szCs w:val="16"/>
              </w:rPr>
              <w:t>CLEAR HORIZON CONSULTING PTY LTD</w:t>
            </w:r>
          </w:p>
        </w:tc>
        <w:tc>
          <w:tcPr>
            <w:tcW w:w="1852" w:type="dxa"/>
            <w:shd w:val="clear" w:color="auto" w:fill="FFFFFF" w:themeFill="background1"/>
          </w:tcPr>
          <w:p w:rsidR="0024051E" w:rsidRDefault="0024051E" w:rsidP="00D75F90">
            <w:pPr>
              <w:pStyle w:val="BodyText"/>
            </w:pPr>
            <w:r>
              <w:t>Mid-term Evaluation of the Charter Education Project</w:t>
            </w:r>
          </w:p>
        </w:tc>
        <w:tc>
          <w:tcPr>
            <w:tcW w:w="1285" w:type="dxa"/>
            <w:shd w:val="clear" w:color="auto" w:fill="FFFFFF" w:themeFill="background1"/>
          </w:tcPr>
          <w:p w:rsidR="0024051E" w:rsidRDefault="0024051E" w:rsidP="00D75F90">
            <w:pPr>
              <w:pStyle w:val="BodyText"/>
            </w:pPr>
            <w:r>
              <w:t>1/11/2018</w:t>
            </w:r>
          </w:p>
        </w:tc>
        <w:tc>
          <w:tcPr>
            <w:tcW w:w="1323" w:type="dxa"/>
            <w:shd w:val="clear" w:color="auto" w:fill="FFFFFF" w:themeFill="background1"/>
          </w:tcPr>
          <w:p w:rsidR="0024051E" w:rsidRDefault="0024051E" w:rsidP="00D75F90">
            <w:pPr>
              <w:pStyle w:val="BodyText"/>
            </w:pPr>
            <w:r>
              <w:t>28/02/2019</w:t>
            </w:r>
          </w:p>
        </w:tc>
        <w:tc>
          <w:tcPr>
            <w:tcW w:w="1190" w:type="dxa"/>
            <w:shd w:val="clear" w:color="auto" w:fill="FFFFFF" w:themeFill="background1"/>
          </w:tcPr>
          <w:p w:rsidR="0024051E" w:rsidRDefault="0024051E" w:rsidP="00D75F90">
            <w:pPr>
              <w:pStyle w:val="BodyText"/>
            </w:pPr>
            <w:r>
              <w:t>25,000</w:t>
            </w:r>
          </w:p>
        </w:tc>
        <w:tc>
          <w:tcPr>
            <w:tcW w:w="1399" w:type="dxa"/>
            <w:shd w:val="clear" w:color="auto" w:fill="FFFFFF" w:themeFill="background1"/>
          </w:tcPr>
          <w:p w:rsidR="0024051E" w:rsidRDefault="0024051E" w:rsidP="00D75F90">
            <w:pPr>
              <w:pStyle w:val="BodyText"/>
            </w:pPr>
            <w:r>
              <w:t>22,563</w:t>
            </w:r>
          </w:p>
        </w:tc>
        <w:tc>
          <w:tcPr>
            <w:tcW w:w="1426" w:type="dxa"/>
            <w:shd w:val="clear" w:color="auto" w:fill="FFFFFF" w:themeFill="background1"/>
          </w:tcPr>
          <w:p w:rsidR="0024051E" w:rsidRDefault="0024051E" w:rsidP="00D75F90">
            <w:pPr>
              <w:pStyle w:val="BodyText"/>
            </w:pPr>
            <w:r>
              <w:t>2,438</w:t>
            </w:r>
          </w:p>
        </w:tc>
      </w:tr>
    </w:tbl>
    <w:p w:rsidR="0024051E" w:rsidRDefault="0024051E" w:rsidP="007063DF">
      <w:pPr>
        <w:pStyle w:val="Heading4"/>
      </w:pPr>
      <w:r>
        <w:t>Details of consultancies under $10,000</w:t>
      </w:r>
    </w:p>
    <w:p w:rsidR="0024051E" w:rsidRDefault="0024051E" w:rsidP="00CF3E72">
      <w:pPr>
        <w:pStyle w:val="BodyText"/>
      </w:pPr>
      <w:r>
        <w:t xml:space="preserve">In 2018–19 there were five consultancies engaged during the year, where the total fees payable to the individual consultancies was less than $10,000. </w:t>
      </w:r>
    </w:p>
    <w:p w:rsidR="0024051E" w:rsidRDefault="0024051E" w:rsidP="00CF3E72">
      <w:pPr>
        <w:pStyle w:val="BodyText"/>
      </w:pPr>
      <w:r>
        <w:t>The total expenditure incurred during 2018–19 in relation to these consultancies was $19,413 (excl. GST).</w:t>
      </w:r>
    </w:p>
    <w:p w:rsidR="0024051E" w:rsidRDefault="0024051E" w:rsidP="00D75F90">
      <w:pPr>
        <w:pStyle w:val="Heading3"/>
      </w:pPr>
      <w:r>
        <w:t>Government advertising expenditure</w:t>
      </w:r>
    </w:p>
    <w:p w:rsidR="0024051E" w:rsidRDefault="0024051E" w:rsidP="00CF3E72">
      <w:pPr>
        <w:pStyle w:val="BodyText"/>
      </w:pPr>
      <w:r>
        <w:t xml:space="preserve">In 2018–19, there were no government advertising campaigns with total media spends of $100,000 or greater (exclusive of GST). </w:t>
      </w:r>
    </w:p>
    <w:p w:rsidR="0024051E" w:rsidRDefault="0024051E" w:rsidP="007063DF">
      <w:pPr>
        <w:pStyle w:val="Heading3"/>
      </w:pPr>
      <w:r>
        <w:t>Information and communication technology expenditure</w:t>
      </w:r>
    </w:p>
    <w:p w:rsidR="0024051E" w:rsidRDefault="0024051E" w:rsidP="007063DF">
      <w:pPr>
        <w:pStyle w:val="Heading4"/>
      </w:pPr>
      <w:r>
        <w:t>Details of information and communication technology (ICT) expenditure</w:t>
      </w:r>
    </w:p>
    <w:p w:rsidR="0024051E" w:rsidRDefault="0024051E" w:rsidP="00CF3E72">
      <w:pPr>
        <w:pStyle w:val="BodyText"/>
      </w:pPr>
      <w:r>
        <w:t>For the 2018–19 reporting period, the Commission had a total ICT expenditure of $41,262, with the details shown below.</w:t>
      </w: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020" w:firstRow="1" w:lastRow="0" w:firstColumn="0" w:lastColumn="0" w:noHBand="0" w:noVBand="0"/>
      </w:tblPr>
      <w:tblGrid>
        <w:gridCol w:w="3000"/>
        <w:gridCol w:w="2206"/>
        <w:gridCol w:w="2206"/>
        <w:gridCol w:w="2206"/>
      </w:tblGrid>
      <w:tr w:rsidR="0024051E" w:rsidRPr="009549EF" w:rsidTr="009549EF">
        <w:trPr>
          <w:trHeight w:val="634"/>
        </w:trPr>
        <w:tc>
          <w:tcPr>
            <w:tcW w:w="3000" w:type="dxa"/>
            <w:vMerge w:val="restart"/>
            <w:tcBorders>
              <w:top w:val="single" w:sz="4" w:space="0" w:color="000000"/>
              <w:left w:val="single" w:sz="4" w:space="0" w:color="000000"/>
              <w:bottom w:val="single" w:sz="4" w:space="0" w:color="000000"/>
              <w:right w:val="nil"/>
            </w:tcBorders>
            <w:shd w:val="clear" w:color="auto" w:fill="000000"/>
          </w:tcPr>
          <w:p w:rsidR="0024051E" w:rsidRPr="009549EF" w:rsidRDefault="0024051E" w:rsidP="00D75F90">
            <w:pPr>
              <w:pStyle w:val="BodyText"/>
              <w:rPr>
                <w:b/>
                <w:bCs/>
                <w:color w:val="FFFFFF"/>
              </w:rPr>
            </w:pPr>
            <w:r w:rsidRPr="009549EF">
              <w:rPr>
                <w:b/>
                <w:bCs/>
                <w:color w:val="FFFFFF"/>
              </w:rPr>
              <w:t>All operational ICT expenditure Business As Usual (BAU) ICT expenditure (excl. GST)*</w:t>
            </w:r>
          </w:p>
        </w:tc>
        <w:tc>
          <w:tcPr>
            <w:tcW w:w="6618" w:type="dxa"/>
            <w:gridSpan w:val="3"/>
            <w:tcBorders>
              <w:top w:val="single" w:sz="4" w:space="0" w:color="000000"/>
              <w:left w:val="nil"/>
              <w:bottom w:val="single" w:sz="4" w:space="0" w:color="000000"/>
              <w:right w:val="single" w:sz="4" w:space="0" w:color="000000"/>
            </w:tcBorders>
            <w:shd w:val="clear" w:color="auto" w:fill="000000"/>
          </w:tcPr>
          <w:p w:rsidR="0024051E" w:rsidRPr="009549EF" w:rsidRDefault="0024051E" w:rsidP="00D75F90">
            <w:pPr>
              <w:pStyle w:val="BodyText"/>
              <w:rPr>
                <w:b/>
                <w:bCs/>
                <w:color w:val="FFFFFF"/>
              </w:rPr>
            </w:pPr>
            <w:r w:rsidRPr="009549EF">
              <w:rPr>
                <w:b/>
                <w:bCs/>
                <w:color w:val="FFFFFF"/>
              </w:rPr>
              <w:t>ICT expenditure related to projects to create or enhance ICT capabilities</w:t>
            </w:r>
          </w:p>
        </w:tc>
      </w:tr>
      <w:tr w:rsidR="009549EF" w:rsidRPr="009549EF" w:rsidTr="00C30441">
        <w:trPr>
          <w:trHeight w:val="1032"/>
        </w:trPr>
        <w:tc>
          <w:tcPr>
            <w:tcW w:w="3000" w:type="dxa"/>
            <w:vMerge/>
            <w:shd w:val="clear" w:color="auto" w:fill="auto"/>
          </w:tcPr>
          <w:p w:rsidR="0024051E" w:rsidRPr="009549EF" w:rsidRDefault="0024051E" w:rsidP="00D75F90">
            <w:pPr>
              <w:pStyle w:val="BodyText"/>
              <w:rPr>
                <w:rFonts w:ascii="Graphik-Bold" w:hAnsi="Graphik-Bold"/>
              </w:rPr>
            </w:pPr>
          </w:p>
        </w:tc>
        <w:tc>
          <w:tcPr>
            <w:tcW w:w="2206" w:type="dxa"/>
            <w:shd w:val="clear" w:color="auto" w:fill="FFFFFF" w:themeFill="background1"/>
          </w:tcPr>
          <w:p w:rsidR="0024051E" w:rsidRDefault="0024051E" w:rsidP="00D75F90">
            <w:pPr>
              <w:pStyle w:val="BodyText"/>
            </w:pPr>
            <w:r>
              <w:t>Non Business As Usual (non BAU) ICT expenditure (excl. GST)</w:t>
            </w:r>
          </w:p>
        </w:tc>
        <w:tc>
          <w:tcPr>
            <w:tcW w:w="2206" w:type="dxa"/>
            <w:shd w:val="clear" w:color="auto" w:fill="FFFFFF" w:themeFill="background1"/>
          </w:tcPr>
          <w:p w:rsidR="0024051E" w:rsidRDefault="0024051E" w:rsidP="00D75F90">
            <w:pPr>
              <w:pStyle w:val="BodyText"/>
            </w:pPr>
            <w:r>
              <w:t>Operational expenditure (excl. GST)</w:t>
            </w:r>
          </w:p>
        </w:tc>
        <w:tc>
          <w:tcPr>
            <w:tcW w:w="2206" w:type="dxa"/>
            <w:shd w:val="clear" w:color="auto" w:fill="FFFFFF" w:themeFill="background1"/>
          </w:tcPr>
          <w:p w:rsidR="0024051E" w:rsidRDefault="0024051E" w:rsidP="00D75F90">
            <w:pPr>
              <w:pStyle w:val="BodyText"/>
            </w:pPr>
            <w:r>
              <w:t xml:space="preserve">Capital expenditure(excl. GST) </w:t>
            </w:r>
          </w:p>
        </w:tc>
      </w:tr>
      <w:tr w:rsidR="009549EF" w:rsidRPr="009549EF" w:rsidTr="00C30441">
        <w:trPr>
          <w:trHeight w:val="570"/>
        </w:trPr>
        <w:tc>
          <w:tcPr>
            <w:tcW w:w="3000" w:type="dxa"/>
            <w:shd w:val="clear" w:color="auto" w:fill="auto"/>
          </w:tcPr>
          <w:p w:rsidR="0024051E" w:rsidRDefault="0024051E" w:rsidP="00D75F90">
            <w:pPr>
              <w:pStyle w:val="BodyText"/>
            </w:pPr>
            <w:r w:rsidRPr="009549EF">
              <w:rPr>
                <w:shd w:val="clear" w:color="auto" w:fill="FFFFFF"/>
              </w:rPr>
              <w:t xml:space="preserve">     </w:t>
            </w:r>
            <w:r>
              <w:t xml:space="preserve">              41,262 </w:t>
            </w:r>
          </w:p>
        </w:tc>
        <w:tc>
          <w:tcPr>
            <w:tcW w:w="2206" w:type="dxa"/>
            <w:shd w:val="clear" w:color="auto" w:fill="FFFFFF" w:themeFill="background1"/>
          </w:tcPr>
          <w:p w:rsidR="0024051E" w:rsidRDefault="0024051E" w:rsidP="00D75F90">
            <w:pPr>
              <w:pStyle w:val="BodyText"/>
            </w:pPr>
            <w:r>
              <w:t xml:space="preserve">              -  </w:t>
            </w:r>
          </w:p>
        </w:tc>
        <w:tc>
          <w:tcPr>
            <w:tcW w:w="2206" w:type="dxa"/>
            <w:shd w:val="clear" w:color="auto" w:fill="FFFFFF" w:themeFill="background1"/>
          </w:tcPr>
          <w:p w:rsidR="0024051E" w:rsidRDefault="0024051E" w:rsidP="00D75F90">
            <w:pPr>
              <w:pStyle w:val="BodyText"/>
            </w:pPr>
            <w:r>
              <w:t xml:space="preserve">41,262 </w:t>
            </w:r>
          </w:p>
        </w:tc>
        <w:tc>
          <w:tcPr>
            <w:tcW w:w="2206" w:type="dxa"/>
            <w:shd w:val="clear" w:color="auto" w:fill="FFFFFF" w:themeFill="background1"/>
          </w:tcPr>
          <w:p w:rsidR="0024051E" w:rsidRDefault="0024051E" w:rsidP="00D75F90">
            <w:pPr>
              <w:pStyle w:val="BodyText"/>
            </w:pPr>
            <w:r>
              <w:t xml:space="preserve">              -  </w:t>
            </w:r>
          </w:p>
        </w:tc>
      </w:tr>
    </w:tbl>
    <w:p w:rsidR="0024051E" w:rsidRDefault="0024051E" w:rsidP="00CF3E72">
      <w:pPr>
        <w:pStyle w:val="BodyText"/>
      </w:pPr>
    </w:p>
    <w:p w:rsidR="0024051E" w:rsidRDefault="0024051E" w:rsidP="007063DF">
      <w:pPr>
        <w:pStyle w:val="Heading3"/>
      </w:pPr>
      <w:r>
        <w:t>Compliance with Competitive Neutrality Policy</w:t>
      </w:r>
    </w:p>
    <w:p w:rsidR="0024051E" w:rsidRDefault="0024051E" w:rsidP="00CF3E72">
      <w:pPr>
        <w:pStyle w:val="BodyText"/>
      </w:pPr>
      <w:r>
        <w:t xml:space="preserve">Competitive neutrality requires government businesses to ensure where services compete, or potentially compete with the private sector, any advantage arising solely </w:t>
      </w:r>
      <w:r>
        <w:lastRenderedPageBreak/>
        <w:t>from their government ownership be removed if it is not in the public interest. Government businesses are required to cost and price these services as if they were privately owned. Competitive neutrality policy supports fair competition between public and private businesses and provides government businesses with a tool to enhance decisions on resource allocation. This policy does not override other policy objectives of government and focuses on efficiency in the provision of service.</w:t>
      </w:r>
    </w:p>
    <w:p w:rsidR="0024051E" w:rsidRDefault="0024051E" w:rsidP="00CF3E72">
      <w:pPr>
        <w:pStyle w:val="BodyText"/>
      </w:pPr>
      <w:r>
        <w:t xml:space="preserve">The Commission works to ensure it fulfils its requirements on competitive neutrality under the Victorian Government’s Competition Principles Agreement in relation to the fee structure that it applies to those services against which charges may be applied, to ensure that such charges are based on commercial market rates. </w:t>
      </w:r>
    </w:p>
    <w:p w:rsidR="0024051E" w:rsidRDefault="0024051E" w:rsidP="007063DF">
      <w:pPr>
        <w:pStyle w:val="Heading3"/>
      </w:pPr>
      <w:r>
        <w:t>Compliance with the Building Act</w:t>
      </w:r>
    </w:p>
    <w:p w:rsidR="0024051E" w:rsidRDefault="0024051E" w:rsidP="00CF3E72">
      <w:pPr>
        <w:pStyle w:val="BodyText"/>
      </w:pPr>
      <w:r>
        <w:t xml:space="preserve">The Commission does not own or control any government buildings and consequently is exempt from notifying its compliance with the building and maintenance provisions of the </w:t>
      </w:r>
      <w:r w:rsidRPr="00485D7B">
        <w:rPr>
          <w:rStyle w:val="Characteritalic"/>
          <w:lang w:eastAsia="en-US"/>
        </w:rPr>
        <w:t>Building Act 1993.</w:t>
      </w:r>
    </w:p>
    <w:p w:rsidR="0024051E" w:rsidRDefault="0024051E" w:rsidP="007063DF">
      <w:pPr>
        <w:pStyle w:val="Heading3"/>
      </w:pPr>
      <w:r>
        <w:t xml:space="preserve">Compliance with the Protected Disclosure Act </w:t>
      </w:r>
    </w:p>
    <w:p w:rsidR="0024051E" w:rsidRDefault="0024051E" w:rsidP="00CF3E72">
      <w:pPr>
        <w:pStyle w:val="BodyText"/>
      </w:pPr>
      <w:r>
        <w:t xml:space="preserve">The </w:t>
      </w:r>
      <w:r w:rsidRPr="00485D7B">
        <w:rPr>
          <w:rStyle w:val="Characteritalic"/>
          <w:lang w:eastAsia="en-US"/>
        </w:rPr>
        <w:t>Protected Disclosure Act 2012</w:t>
      </w:r>
      <w:r>
        <w:t xml:space="preserve"> encourages and assists people in making disclosures of improper conduct by public officers and public bodies. The Act provides protection to people who make disclosures in accordance with the Act and establishes a system for the matters disclosed to be investigated and rectifying action to be taken. </w:t>
      </w:r>
    </w:p>
    <w:p w:rsidR="0024051E" w:rsidRDefault="0024051E" w:rsidP="00CF3E72">
      <w:pPr>
        <w:pStyle w:val="BodyText"/>
      </w:pPr>
      <w:r>
        <w:t>The Commission does not tolerate improper conduct by employees, nor the taking of reprisals against those who come forward to disclose such conduct. We are committed to ensuring transparency and accountability in administrative and management practices. We support the making of disclosures that reveal:</w:t>
      </w:r>
    </w:p>
    <w:p w:rsidR="0024051E" w:rsidRDefault="0024051E" w:rsidP="007063DF">
      <w:pPr>
        <w:pStyle w:val="ListBullet"/>
      </w:pPr>
      <w:r>
        <w:t>corrupt conduct</w:t>
      </w:r>
    </w:p>
    <w:p w:rsidR="0024051E" w:rsidRDefault="0024051E" w:rsidP="007063DF">
      <w:pPr>
        <w:pStyle w:val="ListBullet"/>
      </w:pPr>
      <w:r>
        <w:t>conduct involving a substantial mismanagement of public resources</w:t>
      </w:r>
    </w:p>
    <w:p w:rsidR="0024051E" w:rsidRDefault="0024051E" w:rsidP="007063DF">
      <w:pPr>
        <w:pStyle w:val="ListBullet"/>
      </w:pPr>
      <w:r>
        <w:t>conduct involving a substantial risk to public</w:t>
      </w:r>
    </w:p>
    <w:p w:rsidR="0024051E" w:rsidRDefault="0024051E" w:rsidP="007063DF">
      <w:pPr>
        <w:pStyle w:val="ListBullet"/>
      </w:pPr>
      <w:r>
        <w:t>health and safety or the environment.</w:t>
      </w:r>
    </w:p>
    <w:p w:rsidR="0024051E" w:rsidRDefault="0024051E" w:rsidP="00CF3E72">
      <w:pPr>
        <w:pStyle w:val="BodyText"/>
      </w:pPr>
      <w:r>
        <w:t>We will take all reasonable steps to protect people who make such disclosures from any detrimental action in reprisal for making the disclosure. We will also afford natural justice to the person who is the subject of the disclosure to the extent it is legally possible.</w:t>
      </w:r>
    </w:p>
    <w:p w:rsidR="0024051E" w:rsidRDefault="0024051E" w:rsidP="00CF3E72">
      <w:pPr>
        <w:pStyle w:val="BodyText"/>
      </w:pPr>
      <w:r>
        <w:t>Reporting procedures</w:t>
      </w:r>
    </w:p>
    <w:p w:rsidR="0024051E" w:rsidRPr="00D75F90" w:rsidRDefault="0024051E" w:rsidP="00D75F90">
      <w:pPr>
        <w:pStyle w:val="BodyText"/>
        <w:rPr>
          <w:rStyle w:val="Hyperlink"/>
        </w:rPr>
      </w:pPr>
      <w:r>
        <w:t xml:space="preserve">Disclosures about the Commission or any of its employees can be made to the Independent Broad-based Anti-corruption </w:t>
      </w:r>
      <w:r w:rsidRPr="00D75F90">
        <w:t>Commission</w:t>
      </w:r>
      <w:r>
        <w:t xml:space="preserve">. See </w:t>
      </w:r>
      <w:r w:rsidRPr="00D75F90">
        <w:rPr>
          <w:rStyle w:val="Hyperlink"/>
        </w:rPr>
        <w:t xml:space="preserve">ibac.vic.gov.au. </w:t>
      </w:r>
    </w:p>
    <w:p w:rsidR="0024051E" w:rsidRDefault="0024051E" w:rsidP="00CF3E72">
      <w:pPr>
        <w:pStyle w:val="BodyText"/>
      </w:pPr>
      <w:r>
        <w:t xml:space="preserve">For the Commission’s protected disclosure procedures, how we protect people from reprisals and more information about reporting improper conduct go to </w:t>
      </w:r>
      <w:r w:rsidRPr="00D75F90">
        <w:rPr>
          <w:rStyle w:val="Hyperlink"/>
        </w:rPr>
        <w:t>humanrightscommission.vic.gov.au.</w:t>
      </w:r>
    </w:p>
    <w:p w:rsidR="0024051E" w:rsidRDefault="0024051E" w:rsidP="00CF3E72">
      <w:pPr>
        <w:pStyle w:val="BodyText"/>
      </w:pPr>
      <w:r>
        <w:t>Compliance with the Carers Recognition Act</w:t>
      </w:r>
    </w:p>
    <w:p w:rsidR="0024051E" w:rsidRDefault="0024051E" w:rsidP="00CF3E72">
      <w:pPr>
        <w:pStyle w:val="BodyText"/>
      </w:pPr>
      <w:r>
        <w:t xml:space="preserve">The Commission has taken all practical measures to comply with its obligations under the </w:t>
      </w:r>
      <w:r w:rsidRPr="00485D7B">
        <w:rPr>
          <w:rStyle w:val="Characteritalic"/>
          <w:lang w:eastAsia="en-US"/>
        </w:rPr>
        <w:t>Carers Recognition Act 2012</w:t>
      </w:r>
      <w:r>
        <w:t xml:space="preserve">. Externally, these obligations include </w:t>
      </w:r>
      <w:r>
        <w:lastRenderedPageBreak/>
        <w:t xml:space="preserve">promoting the principles of the Act to people in care relationships who receive our services, and to the wider community, by: </w:t>
      </w:r>
    </w:p>
    <w:p w:rsidR="0024051E" w:rsidRDefault="0024051E" w:rsidP="007063DF">
      <w:pPr>
        <w:pStyle w:val="ListBullet"/>
      </w:pPr>
      <w:r>
        <w:t xml:space="preserve">distributing printed information about the Act on our website for the benefit of members of the public </w:t>
      </w:r>
    </w:p>
    <w:p w:rsidR="0024051E" w:rsidRDefault="0024051E" w:rsidP="007063DF">
      <w:pPr>
        <w:pStyle w:val="ListBullet"/>
      </w:pPr>
      <w:r>
        <w:t xml:space="preserve">continuing to educate the community about the rights of carers under the </w:t>
      </w:r>
      <w:r w:rsidRPr="00485D7B">
        <w:rPr>
          <w:rStyle w:val="Characteritalic"/>
          <w:lang w:eastAsia="en-GB"/>
        </w:rPr>
        <w:t xml:space="preserve">Equal Opportunity Act </w:t>
      </w:r>
      <w:r>
        <w:t xml:space="preserve">through our social media campaigns, project initiatives and training workshops </w:t>
      </w:r>
    </w:p>
    <w:p w:rsidR="0024051E" w:rsidRDefault="0024051E" w:rsidP="007063DF">
      <w:pPr>
        <w:pStyle w:val="ListBullet"/>
      </w:pPr>
      <w:r>
        <w:t>providing a publicly available Enquiry Line for members of the public to make complaints about discrimination, including on the basis of their status as carer, as well as the opportunity to participate in dispute resolution at the Commission.</w:t>
      </w:r>
    </w:p>
    <w:p w:rsidR="0024051E" w:rsidRDefault="0024051E" w:rsidP="007063DF">
      <w:pPr>
        <w:pStyle w:val="Heading3"/>
      </w:pPr>
      <w:r>
        <w:t>Freedom of information</w:t>
      </w:r>
    </w:p>
    <w:p w:rsidR="0024051E" w:rsidRDefault="0024051E" w:rsidP="00CF3E72">
      <w:pPr>
        <w:pStyle w:val="BodyText"/>
      </w:pPr>
      <w:r>
        <w:t xml:space="preserve">Victoria’s </w:t>
      </w:r>
      <w:r w:rsidRPr="00485D7B">
        <w:rPr>
          <w:rStyle w:val="Characteritalic"/>
          <w:lang w:eastAsia="en-US"/>
        </w:rPr>
        <w:t>Freedom of Information Act 1982</w:t>
      </w:r>
      <w:r>
        <w:t xml:space="preserve"> (FOI Act) gives members of the public the right to apply for access to information we hold and is an important part of promoting transparency and accountability. </w:t>
      </w:r>
    </w:p>
    <w:p w:rsidR="0024051E" w:rsidRDefault="0024051E" w:rsidP="00CF3E72">
      <w:pPr>
        <w:pStyle w:val="BodyText"/>
      </w:pPr>
      <w:r>
        <w:t>The Commission holds documents relating to procedures and policy, projects, litigation, dispute resolution, staff, operational and administrative responsibilities, and general correspondence.</w:t>
      </w:r>
    </w:p>
    <w:p w:rsidR="0024051E" w:rsidRDefault="0024051E" w:rsidP="00CF3E72">
      <w:pPr>
        <w:pStyle w:val="BodyText"/>
      </w:pPr>
      <w:r>
        <w:t>The Commission also proactively publishes information about its activities and decision-making on its website, where it can be accessed without a FOI request</w:t>
      </w:r>
    </w:p>
    <w:p w:rsidR="0024051E" w:rsidRDefault="0024051E" w:rsidP="00CF3E72">
      <w:pPr>
        <w:pStyle w:val="BodyText"/>
      </w:pPr>
      <w:r>
        <w:t>How to make a request</w:t>
      </w:r>
    </w:p>
    <w:p w:rsidR="0024051E" w:rsidRDefault="0024051E" w:rsidP="00CF3E72">
      <w:pPr>
        <w:pStyle w:val="BodyText"/>
      </w:pPr>
      <w:r>
        <w:t>Section 17 of the FOI Act requires requests to be</w:t>
      </w:r>
    </w:p>
    <w:p w:rsidR="0024051E" w:rsidRDefault="0024051E" w:rsidP="007063DF">
      <w:pPr>
        <w:pStyle w:val="ListBullet"/>
      </w:pPr>
      <w:r>
        <w:t>in writing</w:t>
      </w:r>
    </w:p>
    <w:p w:rsidR="0024051E" w:rsidRDefault="0024051E" w:rsidP="007063DF">
      <w:pPr>
        <w:pStyle w:val="ListBullet"/>
      </w:pPr>
      <w:r>
        <w:t>clear enough to identify which documents are sought</w:t>
      </w:r>
    </w:p>
    <w:p w:rsidR="0024051E" w:rsidRDefault="0024051E" w:rsidP="007063DF">
      <w:pPr>
        <w:pStyle w:val="ListBullet"/>
      </w:pPr>
      <w:r>
        <w:t>accompanied by the appropriate application fee, or a request to have the fee waived on hardship grounds</w:t>
      </w:r>
    </w:p>
    <w:p w:rsidR="0024051E" w:rsidRDefault="0024051E" w:rsidP="00CF3E72">
      <w:pPr>
        <w:pStyle w:val="BodyText"/>
      </w:pPr>
      <w:r>
        <w:t>Request to the Commission can be made by:</w:t>
      </w:r>
    </w:p>
    <w:p w:rsidR="0024051E" w:rsidRDefault="0024051E" w:rsidP="007063DF">
      <w:pPr>
        <w:pStyle w:val="ListBullet"/>
      </w:pPr>
      <w:r>
        <w:t xml:space="preserve">email to </w:t>
      </w:r>
      <w:r w:rsidRPr="00D75F90">
        <w:rPr>
          <w:rStyle w:val="Hyperlink"/>
        </w:rPr>
        <w:t>foi@veohrc.vic.gov.au</w:t>
      </w:r>
    </w:p>
    <w:p w:rsidR="0024051E" w:rsidRDefault="0024051E" w:rsidP="007063DF">
      <w:pPr>
        <w:pStyle w:val="ListBullet"/>
      </w:pPr>
      <w:r>
        <w:t xml:space="preserve">post to: FOI Officer, Level 3, 204 Lygon Street, Carlton Vic 3053 </w:t>
      </w:r>
    </w:p>
    <w:p w:rsidR="0024051E" w:rsidRDefault="0024051E" w:rsidP="00CF3E72">
      <w:pPr>
        <w:pStyle w:val="BodyText"/>
      </w:pPr>
      <w:r>
        <w:t xml:space="preserve">The Commission will charge an access fee in some cases (for example, for photocopying and search and retrieval). </w:t>
      </w:r>
    </w:p>
    <w:p w:rsidR="0024051E" w:rsidRDefault="0024051E" w:rsidP="00CF3E72">
      <w:pPr>
        <w:pStyle w:val="BodyText"/>
      </w:pPr>
      <w:r>
        <w:t xml:space="preserve">Applicants can contact the Commission’s Legal Unit on 1300 292 153 for assistance making a FOI request. </w:t>
      </w:r>
    </w:p>
    <w:p w:rsidR="0024051E" w:rsidRDefault="0024051E" w:rsidP="007063DF">
      <w:pPr>
        <w:pStyle w:val="Heading4"/>
      </w:pPr>
      <w:r>
        <w:t>FOI statistics</w:t>
      </w:r>
    </w:p>
    <w:p w:rsidR="0024051E" w:rsidRDefault="0024051E" w:rsidP="00CF3E72">
      <w:pPr>
        <w:pStyle w:val="BodyText"/>
      </w:pPr>
      <w:r>
        <w:t xml:space="preserve">The Commission received no formal FOI requests during 2018–19. </w:t>
      </w:r>
    </w:p>
    <w:p w:rsidR="0024051E" w:rsidRDefault="0024051E" w:rsidP="00CF3E72">
      <w:pPr>
        <w:pStyle w:val="BodyText"/>
      </w:pPr>
      <w:r>
        <w:t xml:space="preserve">Office of the Victorian Information Commissioner </w:t>
      </w:r>
    </w:p>
    <w:p w:rsidR="0024051E" w:rsidRDefault="0024051E" w:rsidP="00CF3E72">
      <w:pPr>
        <w:pStyle w:val="BodyText"/>
      </w:pPr>
      <w:r>
        <w:t>The Requesters who are unhappy about the Commission’s handling of a FOI request can complain, or seek review of our decision, to the Office of the Victorian Information Commissioner (OVIC).</w:t>
      </w:r>
    </w:p>
    <w:p w:rsidR="0024051E" w:rsidRDefault="0024051E" w:rsidP="00CF3E72">
      <w:pPr>
        <w:pStyle w:val="BodyText"/>
      </w:pPr>
      <w:r>
        <w:lastRenderedPageBreak/>
        <w:t xml:space="preserve">The Commission is committed to accountability for its actions and cooperates fully with all OVIC reviews. </w:t>
      </w:r>
    </w:p>
    <w:p w:rsidR="0024051E" w:rsidRDefault="0024051E" w:rsidP="00CF3E72">
      <w:pPr>
        <w:pStyle w:val="BodyText"/>
      </w:pPr>
      <w:r>
        <w:t>In 2018–2019 OVIC notified the Commission of one review, which remains ongoing</w:t>
      </w:r>
    </w:p>
    <w:p w:rsidR="0024051E" w:rsidRDefault="0024051E" w:rsidP="00D75F90">
      <w:pPr>
        <w:pStyle w:val="Heading4"/>
      </w:pPr>
      <w:r>
        <w:t>Further information</w:t>
      </w:r>
    </w:p>
    <w:p w:rsidR="0024051E" w:rsidRDefault="0024051E" w:rsidP="00CF3E72">
      <w:pPr>
        <w:pStyle w:val="BodyText"/>
      </w:pPr>
      <w:r>
        <w:t xml:space="preserve">Further information on making a request to the Commission can be found on our website </w:t>
      </w:r>
      <w:r w:rsidRPr="00D75F90">
        <w:rPr>
          <w:rStyle w:val="Hyperlink"/>
        </w:rPr>
        <w:t>humanrightscommission.vic.gov.au/index.php/about-us/freedom-of-information.</w:t>
      </w:r>
    </w:p>
    <w:p w:rsidR="0024051E" w:rsidRDefault="0024051E" w:rsidP="007063DF">
      <w:pPr>
        <w:pStyle w:val="Heading3"/>
      </w:pPr>
      <w:r>
        <w:t>Local Jobs First – Victorian Industry Participation Policy</w:t>
      </w:r>
    </w:p>
    <w:p w:rsidR="0024051E" w:rsidRDefault="0024051E" w:rsidP="00CF3E72">
      <w:pPr>
        <w:pStyle w:val="BodyText"/>
      </w:pPr>
      <w:r>
        <w:t xml:space="preserve">The </w:t>
      </w:r>
      <w:r w:rsidRPr="00485D7B">
        <w:rPr>
          <w:rStyle w:val="Characteritalic"/>
          <w:lang w:eastAsia="en-US"/>
        </w:rPr>
        <w:t>Victorian Industry Participation Policy Act 2003</w:t>
      </w:r>
      <w:r>
        <w:t xml:space="preserve"> requires public sector bodies to report on the implementation of the Local Jobs First – Victorian Industry Participation Policy (Local Jobs First – VIPP). Public sector bodies are required to apply the Local Jobs First – VIPP in all procurement activities valued at $3 million or more in metropolitan Melbourne and for statewide projects, or $1 million or more for procurement activities in regional Victoria.</w:t>
      </w:r>
    </w:p>
    <w:p w:rsidR="0024051E" w:rsidRDefault="0024051E" w:rsidP="007063DF">
      <w:pPr>
        <w:pStyle w:val="Heading3"/>
      </w:pPr>
      <w:r>
        <w:t>Compliance with the Disability Act</w:t>
      </w:r>
    </w:p>
    <w:p w:rsidR="0024051E" w:rsidRDefault="0024051E" w:rsidP="00CF3E72">
      <w:pPr>
        <w:pStyle w:val="BodyText"/>
      </w:pPr>
      <w:r>
        <w:t xml:space="preserve">The </w:t>
      </w:r>
      <w:r w:rsidRPr="00485D7B">
        <w:rPr>
          <w:rStyle w:val="Characteritalic"/>
          <w:lang w:eastAsia="en-US"/>
        </w:rPr>
        <w:t>Disability Act 2006</w:t>
      </w:r>
      <w:r>
        <w:t xml:space="preserve"> reaffirms and strengthens the rights of people with a disability and recognises that this requires support across the government sector and within the community. </w:t>
      </w:r>
    </w:p>
    <w:p w:rsidR="0024051E" w:rsidRDefault="0024051E" w:rsidP="00CF3E72">
      <w:pPr>
        <w:pStyle w:val="BodyText"/>
      </w:pPr>
      <w:r>
        <w:t xml:space="preserve">The Disability Act requires that public sector bodies prepare a disability action plan and report on its implementation in their annual report. A disability action plan is a strategic plan which helps an organisation remove barriers that prevent people with a disability from using the organisation’s goods, services and facilities, and from gaining and keeping employment. Disability action planning also strives to promote inclusion and participation in the community, and achieve changes in attitudes and practices that may result in discrimination. </w:t>
      </w:r>
    </w:p>
    <w:p w:rsidR="0024051E" w:rsidRDefault="0024051E" w:rsidP="00CF3E72">
      <w:pPr>
        <w:pStyle w:val="BodyText"/>
      </w:pPr>
      <w:r>
        <w:t xml:space="preserve">During 2018–19, the Commission developed its new Disability Action Plan 2018-20. </w:t>
      </w:r>
      <w:r>
        <w:br/>
        <w:t xml:space="preserve">The new plan is on the Commission’s website. </w:t>
      </w:r>
    </w:p>
    <w:p w:rsidR="0024051E" w:rsidRDefault="0024051E" w:rsidP="00CF3E72">
      <w:pPr>
        <w:pStyle w:val="BodyText"/>
      </w:pPr>
      <w:r>
        <w:t xml:space="preserve">Additional Commission information available on request </w:t>
      </w:r>
    </w:p>
    <w:p w:rsidR="0024051E" w:rsidRDefault="0024051E" w:rsidP="00CF3E72">
      <w:pPr>
        <w:pStyle w:val="BodyText"/>
      </w:pPr>
      <w:r>
        <w:t xml:space="preserve">In compliance with the requirements of the Standing Directions of the Minister for Finance, details in respect of the items listed below have been retained by the Commission and are available on request, subject to the provisions of the </w:t>
      </w:r>
      <w:r w:rsidRPr="00485D7B">
        <w:rPr>
          <w:rStyle w:val="Characteritalic"/>
          <w:lang w:eastAsia="en-US"/>
        </w:rPr>
        <w:t>Freedom of Information Act 1982</w:t>
      </w:r>
      <w:r>
        <w:t>.</w:t>
      </w:r>
    </w:p>
    <w:p w:rsidR="0024051E" w:rsidRDefault="0024051E" w:rsidP="00485D7B">
      <w:pPr>
        <w:pStyle w:val="ListNumber"/>
      </w:pPr>
      <w:r>
        <w:t>declarations of pecuniary interests that have been duly completed by all relevant officers of the Commission</w:t>
      </w:r>
    </w:p>
    <w:p w:rsidR="0024051E" w:rsidRDefault="0024051E" w:rsidP="00485D7B">
      <w:pPr>
        <w:pStyle w:val="ListNumber"/>
      </w:pPr>
      <w:r>
        <w:t>details of shares held by senior officers of the Commission as nominee or held beneficially in a statutory authority or subsidiary</w:t>
      </w:r>
    </w:p>
    <w:p w:rsidR="0024051E" w:rsidRDefault="0024051E" w:rsidP="00485D7B">
      <w:pPr>
        <w:pStyle w:val="ListNumber"/>
      </w:pPr>
      <w:r>
        <w:t>details of all consultancies and contractors including:</w:t>
      </w:r>
    </w:p>
    <w:p w:rsidR="0024051E" w:rsidRDefault="0024051E" w:rsidP="00485D7B">
      <w:pPr>
        <w:pStyle w:val="ListBullet"/>
      </w:pPr>
      <w:r>
        <w:t xml:space="preserve">consultants/contractors engaged </w:t>
      </w:r>
    </w:p>
    <w:p w:rsidR="0024051E" w:rsidRDefault="0024051E" w:rsidP="00485D7B">
      <w:pPr>
        <w:pStyle w:val="ListBullet"/>
      </w:pPr>
      <w:r>
        <w:t>services provided</w:t>
      </w:r>
    </w:p>
    <w:p w:rsidR="0024051E" w:rsidRDefault="0024051E" w:rsidP="00485D7B">
      <w:pPr>
        <w:pStyle w:val="ListBullet"/>
      </w:pPr>
      <w:r>
        <w:t>expenditure committed to for each engagement.</w:t>
      </w:r>
    </w:p>
    <w:p w:rsidR="0024051E" w:rsidRDefault="0024051E" w:rsidP="00CF3E72">
      <w:pPr>
        <w:pStyle w:val="BodyText"/>
      </w:pPr>
      <w:r>
        <w:lastRenderedPageBreak/>
        <w:t xml:space="preserve">The information is available on request from </w:t>
      </w:r>
      <w:r w:rsidRPr="00D75F90">
        <w:rPr>
          <w:rStyle w:val="Hyperlink"/>
        </w:rPr>
        <w:t>foi@veohrc.vic.gov.au.</w:t>
      </w:r>
    </w:p>
    <w:p w:rsidR="0024051E" w:rsidRDefault="0024051E" w:rsidP="007063DF">
      <w:pPr>
        <w:pStyle w:val="Heading3"/>
      </w:pPr>
      <w:r>
        <w:t>Office based environmental impacts</w:t>
      </w:r>
    </w:p>
    <w:p w:rsidR="0024051E" w:rsidRDefault="0024051E" w:rsidP="00CF3E72">
      <w:pPr>
        <w:pStyle w:val="BodyText"/>
      </w:pPr>
      <w:r>
        <w:t>The Commission is committed to minimising its environmental impact and undertook several initiatives in 2018–19.</w:t>
      </w:r>
    </w:p>
    <w:p w:rsidR="0024051E" w:rsidRDefault="0024051E" w:rsidP="00CF3E72">
      <w:pPr>
        <w:pStyle w:val="BodyText"/>
      </w:pPr>
      <w:r>
        <w:t xml:space="preserve">The Commission occupies 1406 sq m of office floorspace which is managed by the Department of Justice and Community Safety, and any consumption reduction targets and infrastructure initiatives to achieve those targets are reported in the Department’s Annual Report. </w:t>
      </w:r>
    </w:p>
    <w:p w:rsidR="0024051E" w:rsidRDefault="0024051E" w:rsidP="00CF3E72">
      <w:pPr>
        <w:pStyle w:val="BodyText"/>
      </w:pPr>
      <w:r>
        <w:t>The facilities management system for the building occupied by the Commission cannot isolate the Commission’s floorspace. Therefore, no separate electricity or water consumption performance can be reported here in the Commission’s Report of Operations, although it is captured in the overall departmental statistics.</w:t>
      </w:r>
    </w:p>
    <w:p w:rsidR="0024051E" w:rsidRDefault="0024051E" w:rsidP="00CF3E72">
      <w:pPr>
        <w:pStyle w:val="BodyText"/>
      </w:pPr>
      <w:r>
        <w:t xml:space="preserve">However locally, the Commission does assist in power consumption reduction by requiring staff to turn off lights when meetings are finished and turn off desktop computers and monitors at the end of the day. All Commission computer monitors also have timed screensavers. </w:t>
      </w:r>
    </w:p>
    <w:p w:rsidR="0024051E" w:rsidRDefault="0024051E" w:rsidP="00CF3E72">
      <w:pPr>
        <w:pStyle w:val="BodyText"/>
      </w:pPr>
      <w:r>
        <w:t xml:space="preserve">To minimise waste and consumables, the Commission: </w:t>
      </w:r>
    </w:p>
    <w:p w:rsidR="0024051E" w:rsidRDefault="0024051E" w:rsidP="007063DF">
      <w:pPr>
        <w:pStyle w:val="ListBullet"/>
      </w:pPr>
      <w:r>
        <w:t>requires all staff to use office landfill, and recycle bins (and the Commission also provides compost bins for biodegradable waste)</w:t>
      </w:r>
    </w:p>
    <w:p w:rsidR="0024051E" w:rsidRDefault="0024051E" w:rsidP="007063DF">
      <w:pPr>
        <w:pStyle w:val="ListBullet"/>
      </w:pPr>
      <w:r>
        <w:t xml:space="preserve">collects mobile phones and corks for recycling, and batteries for safe disposal. </w:t>
      </w:r>
    </w:p>
    <w:p w:rsidR="0024051E" w:rsidRDefault="0024051E" w:rsidP="00CF3E72">
      <w:pPr>
        <w:pStyle w:val="BodyText"/>
      </w:pPr>
      <w:r>
        <w:t>All staff are also encouraged to use the option of double-sided printing wherever possible. The Commission uses energy-efficient printers and uses only recycled paper.</w:t>
      </w:r>
    </w:p>
    <w:p w:rsidR="0024051E" w:rsidRDefault="0024051E" w:rsidP="00CF3E72">
      <w:pPr>
        <w:pStyle w:val="BodyText"/>
      </w:pPr>
      <w:r>
        <w:t>To reduce fuel consumption and transport costs, the Commission’s four vehicles all have hybrid electric/petrol motors, and staff are encouraged to use public transport for work travel where possible.</w:t>
      </w:r>
    </w:p>
    <w:p w:rsidR="0024051E" w:rsidRDefault="0024051E" w:rsidP="007063DF">
      <w:pPr>
        <w:pStyle w:val="Heading3"/>
      </w:pPr>
      <w:r>
        <w:t>Attestation for financial management compliance with Ministerial Standing Direction 5.1.4</w:t>
      </w:r>
    </w:p>
    <w:p w:rsidR="0024051E" w:rsidRDefault="0024051E" w:rsidP="00CF3E72">
      <w:pPr>
        <w:pStyle w:val="BodyText"/>
      </w:pPr>
      <w:r>
        <w:t xml:space="preserve">I Moana Weir, Chairperson and on behalf of the Board, certify that the Victorian Equal Opportunity and Human Rights Commission has complied with the applicable Standing Directions of the Minister for Finance under the </w:t>
      </w:r>
      <w:r w:rsidRPr="00485D7B">
        <w:rPr>
          <w:rStyle w:val="Characteritalic"/>
          <w:lang w:eastAsia="en-US"/>
        </w:rPr>
        <w:t>Financial Management Act 1994</w:t>
      </w:r>
      <w:r>
        <w:t xml:space="preserve"> and Instructions. </w:t>
      </w:r>
    </w:p>
    <w:p w:rsidR="0024051E" w:rsidRDefault="0024051E" w:rsidP="00CF3E72">
      <w:pPr>
        <w:pStyle w:val="BodyText"/>
      </w:pPr>
    </w:p>
    <w:p w:rsidR="0024051E" w:rsidRDefault="0024051E" w:rsidP="00CF3E72">
      <w:pPr>
        <w:pStyle w:val="BodyText"/>
      </w:pPr>
      <w:r>
        <w:t>Signed</w:t>
      </w:r>
    </w:p>
    <w:p w:rsidR="00D75F90" w:rsidRDefault="00423442" w:rsidP="00CF3E72">
      <w:pPr>
        <w:pStyle w:val="BodyText"/>
      </w:pPr>
      <w:r>
        <w:pict>
          <v:shape id="_x0000_i1027" type="#_x0000_t75" style="width:156pt;height:65.25pt">
            <v:imagedata r:id="rId14" o:title=""/>
          </v:shape>
        </w:pict>
      </w:r>
    </w:p>
    <w:p w:rsidR="0024051E" w:rsidRDefault="0024051E" w:rsidP="00CF3E72">
      <w:pPr>
        <w:pStyle w:val="BodyText"/>
      </w:pPr>
      <w:r>
        <w:t>Moana Weir</w:t>
      </w:r>
    </w:p>
    <w:p w:rsidR="0024051E" w:rsidRDefault="0024051E" w:rsidP="00CF3E72">
      <w:pPr>
        <w:pStyle w:val="BodyText"/>
      </w:pPr>
      <w:r>
        <w:lastRenderedPageBreak/>
        <w:t>Board Chairperson</w:t>
      </w:r>
    </w:p>
    <w:p w:rsidR="0024051E" w:rsidRDefault="0024051E" w:rsidP="007063DF">
      <w:pPr>
        <w:pStyle w:val="Heading3"/>
      </w:pPr>
    </w:p>
    <w:p w:rsidR="00485D7B" w:rsidRDefault="00485D7B" w:rsidP="00485D7B">
      <w:pPr>
        <w:spacing w:after="200" w:line="276" w:lineRule="auto"/>
      </w:pPr>
    </w:p>
    <w:p w:rsidR="00485D7B" w:rsidRPr="008628FF" w:rsidRDefault="00485D7B" w:rsidP="00485D7B">
      <w:pPr>
        <w:pStyle w:val="BodyText"/>
        <w:sectPr w:rsidR="00485D7B" w:rsidRPr="008628FF" w:rsidSect="00485D7B">
          <w:headerReference w:type="even" r:id="rId16"/>
          <w:headerReference w:type="default" r:id="rId17"/>
          <w:headerReference w:type="first" r:id="rId18"/>
          <w:footerReference w:type="first" r:id="rId19"/>
          <w:pgSz w:w="11906" w:h="16838" w:code="9"/>
          <w:pgMar w:top="1134" w:right="1418" w:bottom="1134" w:left="1418" w:header="709" w:footer="272" w:gutter="0"/>
          <w:cols w:space="708"/>
          <w:titlePg/>
          <w:docGrid w:linePitch="360"/>
        </w:sectPr>
      </w:pPr>
    </w:p>
    <w:p w:rsidR="00485D7B" w:rsidRDefault="00485D7B" w:rsidP="00485D7B">
      <w:pPr>
        <w:pStyle w:val="Heading1"/>
      </w:pPr>
      <w:bookmarkStart w:id="20" w:name="_Toc15378918"/>
      <w:bookmarkStart w:id="21" w:name="_Toc21701410"/>
      <w:r>
        <w:lastRenderedPageBreak/>
        <w:t>Appendix 1: Complaints and enquiries data</w:t>
      </w:r>
      <w:bookmarkEnd w:id="20"/>
      <w:bookmarkEnd w:id="21"/>
    </w:p>
    <w:p w:rsidR="00485D7B" w:rsidRDefault="00485D7B" w:rsidP="00485D7B">
      <w:pPr>
        <w:pStyle w:val="Heading4"/>
        <w:rPr>
          <w:lang w:eastAsia="en-US"/>
        </w:rPr>
      </w:pPr>
      <w:r w:rsidRPr="001B7372">
        <w:rPr>
          <w:lang w:eastAsia="en-US"/>
        </w:rPr>
        <w:t xml:space="preserve">Complaints under the </w:t>
      </w:r>
      <w:r w:rsidRPr="00C2737A">
        <w:rPr>
          <w:lang w:eastAsia="en-US"/>
        </w:rPr>
        <w:t xml:space="preserve">Equal Opportunity Act </w:t>
      </w:r>
      <w:r w:rsidRPr="001B7372">
        <w:rPr>
          <w:lang w:eastAsia="en-US"/>
        </w:rPr>
        <w:t xml:space="preserve">and </w:t>
      </w:r>
      <w:r w:rsidRPr="00C2737A">
        <w:rPr>
          <w:lang w:eastAsia="en-US"/>
        </w:rPr>
        <w:t xml:space="preserve">Racial and Religious Tolerance Act </w:t>
      </w:r>
      <w:r w:rsidRPr="001B7372">
        <w:rPr>
          <w:lang w:eastAsia="en-US"/>
        </w:rPr>
        <w:t>by area and attribute for 201</w:t>
      </w:r>
      <w:r>
        <w:rPr>
          <w:lang w:eastAsia="en-US"/>
        </w:rPr>
        <w:t>6–</w:t>
      </w:r>
      <w:r w:rsidRPr="001B7372">
        <w:rPr>
          <w:lang w:eastAsia="en-US"/>
        </w:rPr>
        <w:t>17, 2017</w:t>
      </w:r>
      <w:r>
        <w:rPr>
          <w:lang w:eastAsia="en-US"/>
        </w:rPr>
        <w:t xml:space="preserve">–18 and 2018–2019 </w:t>
      </w: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3217"/>
        <w:gridCol w:w="667"/>
        <w:gridCol w:w="667"/>
        <w:gridCol w:w="667"/>
        <w:gridCol w:w="667"/>
        <w:gridCol w:w="667"/>
        <w:gridCol w:w="667"/>
        <w:gridCol w:w="667"/>
        <w:gridCol w:w="667"/>
        <w:gridCol w:w="667"/>
        <w:gridCol w:w="667"/>
        <w:gridCol w:w="667"/>
        <w:gridCol w:w="667"/>
        <w:gridCol w:w="667"/>
        <w:gridCol w:w="667"/>
        <w:gridCol w:w="667"/>
        <w:gridCol w:w="667"/>
        <w:gridCol w:w="667"/>
        <w:gridCol w:w="667"/>
        <w:gridCol w:w="667"/>
        <w:gridCol w:w="667"/>
        <w:gridCol w:w="667"/>
        <w:gridCol w:w="667"/>
        <w:gridCol w:w="667"/>
        <w:gridCol w:w="667"/>
        <w:gridCol w:w="667"/>
        <w:gridCol w:w="667"/>
        <w:gridCol w:w="667"/>
      </w:tblGrid>
      <w:tr w:rsidR="009549EF" w:rsidRPr="009549EF" w:rsidTr="009549EF">
        <w:trPr>
          <w:trHeight w:val="252"/>
        </w:trPr>
        <w:tc>
          <w:tcPr>
            <w:tcW w:w="0" w:type="auto"/>
            <w:tcBorders>
              <w:top w:val="single" w:sz="4" w:space="0" w:color="000000"/>
              <w:left w:val="single" w:sz="4" w:space="0" w:color="000000"/>
              <w:bottom w:val="single" w:sz="4" w:space="0" w:color="000000"/>
              <w:right w:val="single" w:sz="4" w:space="0" w:color="FFFFFF"/>
            </w:tcBorders>
            <w:shd w:val="clear" w:color="auto" w:fill="000000"/>
            <w:noWrap/>
            <w:hideMark/>
          </w:tcPr>
          <w:p w:rsidR="00485D7B" w:rsidRPr="009549EF" w:rsidRDefault="00485D7B" w:rsidP="009549EF">
            <w:pPr>
              <w:spacing w:after="0" w:line="240" w:lineRule="auto"/>
              <w:rPr>
                <w:rFonts w:ascii="Arial" w:hAnsi="Arial" w:cs="Arial"/>
                <w:color w:val="FFFFFF"/>
                <w:sz w:val="18"/>
                <w:szCs w:val="18"/>
              </w:rPr>
            </w:pPr>
            <w:r w:rsidRPr="009549EF">
              <w:rPr>
                <w:rFonts w:ascii="Arial" w:hAnsi="Arial" w:cs="Arial"/>
                <w:color w:val="FFFFFF"/>
                <w:sz w:val="18"/>
                <w:szCs w:val="18"/>
              </w:rPr>
              <w:t> </w:t>
            </w:r>
          </w:p>
        </w:tc>
        <w:tc>
          <w:tcPr>
            <w:tcW w:w="0" w:type="auto"/>
            <w:gridSpan w:val="3"/>
            <w:tcBorders>
              <w:top w:val="single" w:sz="4" w:space="0" w:color="000000"/>
              <w:left w:val="single" w:sz="4" w:space="0" w:color="FFFFFF"/>
              <w:bottom w:val="single" w:sz="4" w:space="0" w:color="000000"/>
              <w:right w:val="single" w:sz="4" w:space="0" w:color="FFFFFF"/>
            </w:tcBorders>
            <w:shd w:val="clear" w:color="auto" w:fill="000000"/>
            <w:noWrap/>
            <w:hideMark/>
          </w:tcPr>
          <w:p w:rsidR="00485D7B" w:rsidRPr="009549EF" w:rsidRDefault="00485D7B" w:rsidP="009549EF">
            <w:pPr>
              <w:spacing w:after="0" w:line="240" w:lineRule="auto"/>
              <w:jc w:val="center"/>
              <w:rPr>
                <w:rFonts w:ascii="Arial" w:hAnsi="Arial" w:cs="Arial"/>
                <w:color w:val="FFFFFF"/>
                <w:sz w:val="18"/>
                <w:szCs w:val="18"/>
              </w:rPr>
            </w:pPr>
            <w:r w:rsidRPr="009549EF">
              <w:rPr>
                <w:rFonts w:ascii="Arial" w:hAnsi="Arial" w:cs="Arial"/>
                <w:color w:val="FFFFFF"/>
                <w:sz w:val="18"/>
                <w:szCs w:val="18"/>
              </w:rPr>
              <w:t>Accommodation</w:t>
            </w:r>
          </w:p>
        </w:tc>
        <w:tc>
          <w:tcPr>
            <w:tcW w:w="0" w:type="auto"/>
            <w:gridSpan w:val="3"/>
            <w:tcBorders>
              <w:top w:val="single" w:sz="4" w:space="0" w:color="000000"/>
              <w:left w:val="single" w:sz="4" w:space="0" w:color="FFFFFF"/>
              <w:bottom w:val="single" w:sz="4" w:space="0" w:color="000000"/>
              <w:right w:val="single" w:sz="4" w:space="0" w:color="FFFFFF"/>
            </w:tcBorders>
            <w:shd w:val="clear" w:color="auto" w:fill="000000"/>
            <w:noWrap/>
            <w:hideMark/>
          </w:tcPr>
          <w:p w:rsidR="00485D7B" w:rsidRPr="009549EF" w:rsidRDefault="00485D7B" w:rsidP="009549EF">
            <w:pPr>
              <w:spacing w:after="0" w:line="240" w:lineRule="auto"/>
              <w:jc w:val="center"/>
              <w:rPr>
                <w:rFonts w:ascii="Arial" w:hAnsi="Arial" w:cs="Arial"/>
                <w:color w:val="FFFFFF"/>
                <w:sz w:val="18"/>
                <w:szCs w:val="18"/>
              </w:rPr>
            </w:pPr>
            <w:r w:rsidRPr="009549EF">
              <w:rPr>
                <w:rFonts w:ascii="Arial" w:hAnsi="Arial" w:cs="Arial"/>
                <w:color w:val="FFFFFF"/>
                <w:sz w:val="18"/>
                <w:szCs w:val="18"/>
              </w:rPr>
              <w:t>Clubs</w:t>
            </w:r>
          </w:p>
        </w:tc>
        <w:tc>
          <w:tcPr>
            <w:tcW w:w="0" w:type="auto"/>
            <w:gridSpan w:val="3"/>
            <w:tcBorders>
              <w:top w:val="single" w:sz="4" w:space="0" w:color="000000"/>
              <w:left w:val="single" w:sz="4" w:space="0" w:color="FFFFFF"/>
              <w:bottom w:val="single" w:sz="4" w:space="0" w:color="000000"/>
              <w:right w:val="single" w:sz="4" w:space="0" w:color="FFFFFF"/>
            </w:tcBorders>
            <w:shd w:val="clear" w:color="auto" w:fill="000000"/>
            <w:noWrap/>
            <w:hideMark/>
          </w:tcPr>
          <w:p w:rsidR="00485D7B" w:rsidRPr="009549EF" w:rsidRDefault="00485D7B" w:rsidP="009549EF">
            <w:pPr>
              <w:spacing w:after="0" w:line="240" w:lineRule="auto"/>
              <w:jc w:val="center"/>
              <w:rPr>
                <w:rFonts w:ascii="Arial" w:hAnsi="Arial" w:cs="Arial"/>
                <w:color w:val="FFFFFF"/>
                <w:sz w:val="18"/>
                <w:szCs w:val="18"/>
              </w:rPr>
            </w:pPr>
            <w:r w:rsidRPr="009549EF">
              <w:rPr>
                <w:rFonts w:ascii="Arial" w:hAnsi="Arial" w:cs="Arial"/>
                <w:color w:val="FFFFFF"/>
                <w:sz w:val="18"/>
                <w:szCs w:val="18"/>
              </w:rPr>
              <w:t>Education</w:t>
            </w:r>
          </w:p>
        </w:tc>
        <w:tc>
          <w:tcPr>
            <w:tcW w:w="0" w:type="auto"/>
            <w:gridSpan w:val="3"/>
            <w:tcBorders>
              <w:top w:val="single" w:sz="4" w:space="0" w:color="000000"/>
              <w:left w:val="single" w:sz="4" w:space="0" w:color="FFFFFF"/>
              <w:bottom w:val="single" w:sz="4" w:space="0" w:color="000000"/>
              <w:right w:val="single" w:sz="4" w:space="0" w:color="FFFFFF"/>
            </w:tcBorders>
            <w:shd w:val="clear" w:color="auto" w:fill="000000"/>
            <w:noWrap/>
            <w:hideMark/>
          </w:tcPr>
          <w:p w:rsidR="00485D7B" w:rsidRPr="009549EF" w:rsidRDefault="00485D7B" w:rsidP="009549EF">
            <w:pPr>
              <w:spacing w:after="0" w:line="240" w:lineRule="auto"/>
              <w:jc w:val="center"/>
              <w:rPr>
                <w:rFonts w:ascii="Arial" w:hAnsi="Arial" w:cs="Arial"/>
                <w:color w:val="FFFFFF"/>
                <w:sz w:val="18"/>
                <w:szCs w:val="18"/>
              </w:rPr>
            </w:pPr>
            <w:r w:rsidRPr="009549EF">
              <w:rPr>
                <w:rFonts w:ascii="Arial" w:hAnsi="Arial" w:cs="Arial"/>
                <w:color w:val="FFFFFF"/>
                <w:sz w:val="18"/>
                <w:szCs w:val="18"/>
              </w:rPr>
              <w:t>Employment</w:t>
            </w:r>
          </w:p>
        </w:tc>
        <w:tc>
          <w:tcPr>
            <w:tcW w:w="0" w:type="auto"/>
            <w:gridSpan w:val="3"/>
            <w:tcBorders>
              <w:top w:val="single" w:sz="4" w:space="0" w:color="000000"/>
              <w:left w:val="single" w:sz="4" w:space="0" w:color="FFFFFF"/>
              <w:bottom w:val="single" w:sz="4" w:space="0" w:color="000000"/>
              <w:right w:val="single" w:sz="4" w:space="0" w:color="FFFFFF"/>
            </w:tcBorders>
            <w:shd w:val="clear" w:color="auto" w:fill="000000"/>
            <w:noWrap/>
            <w:hideMark/>
          </w:tcPr>
          <w:p w:rsidR="00485D7B" w:rsidRPr="009549EF" w:rsidRDefault="00485D7B" w:rsidP="009549EF">
            <w:pPr>
              <w:spacing w:after="0" w:line="240" w:lineRule="auto"/>
              <w:jc w:val="center"/>
              <w:rPr>
                <w:rFonts w:ascii="Arial" w:hAnsi="Arial" w:cs="Arial"/>
                <w:color w:val="FFFFFF"/>
                <w:sz w:val="18"/>
                <w:szCs w:val="18"/>
              </w:rPr>
            </w:pPr>
            <w:r w:rsidRPr="009549EF">
              <w:rPr>
                <w:rFonts w:ascii="Arial" w:hAnsi="Arial" w:cs="Arial"/>
                <w:color w:val="FFFFFF"/>
                <w:sz w:val="18"/>
                <w:szCs w:val="18"/>
              </w:rPr>
              <w:t>Goods/Services</w:t>
            </w:r>
          </w:p>
        </w:tc>
        <w:tc>
          <w:tcPr>
            <w:tcW w:w="0" w:type="auto"/>
            <w:gridSpan w:val="3"/>
            <w:tcBorders>
              <w:top w:val="single" w:sz="4" w:space="0" w:color="000000"/>
              <w:left w:val="single" w:sz="4" w:space="0" w:color="FFFFFF"/>
              <w:bottom w:val="single" w:sz="4" w:space="0" w:color="000000"/>
              <w:right w:val="single" w:sz="4" w:space="0" w:color="FFFFFF"/>
            </w:tcBorders>
            <w:shd w:val="clear" w:color="auto" w:fill="000000"/>
            <w:noWrap/>
            <w:hideMark/>
          </w:tcPr>
          <w:p w:rsidR="00485D7B" w:rsidRPr="009549EF" w:rsidRDefault="00485D7B" w:rsidP="009549EF">
            <w:pPr>
              <w:spacing w:after="0" w:line="240" w:lineRule="auto"/>
              <w:jc w:val="center"/>
              <w:rPr>
                <w:rFonts w:ascii="Arial" w:hAnsi="Arial" w:cs="Arial"/>
                <w:color w:val="FFFFFF"/>
                <w:sz w:val="18"/>
                <w:szCs w:val="18"/>
              </w:rPr>
            </w:pPr>
            <w:r w:rsidRPr="009549EF">
              <w:rPr>
                <w:rFonts w:ascii="Arial" w:hAnsi="Arial" w:cs="Arial"/>
                <w:color w:val="FFFFFF"/>
                <w:sz w:val="18"/>
                <w:szCs w:val="18"/>
              </w:rPr>
              <w:t>Local Gov't</w:t>
            </w:r>
          </w:p>
        </w:tc>
        <w:tc>
          <w:tcPr>
            <w:tcW w:w="0" w:type="auto"/>
            <w:gridSpan w:val="3"/>
            <w:tcBorders>
              <w:top w:val="single" w:sz="4" w:space="0" w:color="000000"/>
              <w:left w:val="single" w:sz="4" w:space="0" w:color="FFFFFF"/>
              <w:bottom w:val="single" w:sz="4" w:space="0" w:color="000000"/>
              <w:right w:val="single" w:sz="4" w:space="0" w:color="FFFFFF"/>
            </w:tcBorders>
            <w:shd w:val="clear" w:color="auto" w:fill="000000"/>
            <w:noWrap/>
            <w:hideMark/>
          </w:tcPr>
          <w:p w:rsidR="00485D7B" w:rsidRPr="009549EF" w:rsidRDefault="00485D7B" w:rsidP="009549EF">
            <w:pPr>
              <w:spacing w:after="0" w:line="240" w:lineRule="auto"/>
              <w:jc w:val="center"/>
              <w:rPr>
                <w:rFonts w:ascii="Arial" w:hAnsi="Arial" w:cs="Arial"/>
                <w:color w:val="FFFFFF"/>
                <w:sz w:val="18"/>
                <w:szCs w:val="18"/>
              </w:rPr>
            </w:pPr>
            <w:r w:rsidRPr="009549EF">
              <w:rPr>
                <w:rFonts w:ascii="Arial" w:hAnsi="Arial" w:cs="Arial"/>
                <w:color w:val="FFFFFF"/>
                <w:sz w:val="18"/>
                <w:szCs w:val="18"/>
              </w:rPr>
              <w:t>No area required*</w:t>
            </w:r>
          </w:p>
        </w:tc>
        <w:tc>
          <w:tcPr>
            <w:tcW w:w="0" w:type="auto"/>
            <w:gridSpan w:val="3"/>
            <w:tcBorders>
              <w:top w:val="single" w:sz="4" w:space="0" w:color="000000"/>
              <w:left w:val="single" w:sz="4" w:space="0" w:color="FFFFFF"/>
              <w:bottom w:val="single" w:sz="4" w:space="0" w:color="000000"/>
              <w:right w:val="single" w:sz="4" w:space="0" w:color="FFFFFF"/>
            </w:tcBorders>
            <w:shd w:val="clear" w:color="auto" w:fill="000000"/>
            <w:noWrap/>
            <w:hideMark/>
          </w:tcPr>
          <w:p w:rsidR="00485D7B" w:rsidRPr="009549EF" w:rsidRDefault="00485D7B" w:rsidP="009549EF">
            <w:pPr>
              <w:spacing w:after="0" w:line="240" w:lineRule="auto"/>
              <w:jc w:val="center"/>
              <w:rPr>
                <w:rFonts w:ascii="Arial" w:hAnsi="Arial" w:cs="Arial"/>
                <w:color w:val="FFFFFF"/>
                <w:sz w:val="18"/>
                <w:szCs w:val="18"/>
              </w:rPr>
            </w:pPr>
            <w:r w:rsidRPr="009549EF">
              <w:rPr>
                <w:rFonts w:ascii="Arial" w:hAnsi="Arial" w:cs="Arial"/>
                <w:color w:val="FFFFFF"/>
                <w:sz w:val="18"/>
                <w:szCs w:val="18"/>
              </w:rPr>
              <w:t>Sport</w:t>
            </w:r>
          </w:p>
        </w:tc>
        <w:tc>
          <w:tcPr>
            <w:tcW w:w="0" w:type="auto"/>
            <w:gridSpan w:val="3"/>
            <w:tcBorders>
              <w:top w:val="single" w:sz="4" w:space="0" w:color="000000"/>
              <w:left w:val="single" w:sz="4" w:space="0" w:color="FFFFFF"/>
              <w:bottom w:val="single" w:sz="4" w:space="0" w:color="000000"/>
              <w:right w:val="single" w:sz="4" w:space="0" w:color="000000"/>
            </w:tcBorders>
            <w:shd w:val="clear" w:color="auto" w:fill="000000"/>
            <w:noWrap/>
            <w:hideMark/>
          </w:tcPr>
          <w:p w:rsidR="00485D7B" w:rsidRPr="009549EF" w:rsidRDefault="00485D7B" w:rsidP="009549EF">
            <w:pPr>
              <w:spacing w:after="0" w:line="240" w:lineRule="auto"/>
              <w:jc w:val="center"/>
              <w:rPr>
                <w:rFonts w:ascii="Arial" w:hAnsi="Arial" w:cs="Arial"/>
                <w:color w:val="FFFFFF"/>
                <w:sz w:val="18"/>
                <w:szCs w:val="18"/>
              </w:rPr>
            </w:pPr>
            <w:r w:rsidRPr="009549EF">
              <w:rPr>
                <w:rFonts w:ascii="Arial" w:hAnsi="Arial" w:cs="Arial"/>
                <w:color w:val="FFFFFF"/>
                <w:sz w:val="18"/>
                <w:szCs w:val="18"/>
              </w:rPr>
              <w:t>Total</w:t>
            </w:r>
          </w:p>
        </w:tc>
      </w:tr>
      <w:tr w:rsidR="009549EF" w:rsidRPr="009549EF" w:rsidTr="00C30441">
        <w:trPr>
          <w:trHeight w:val="252"/>
        </w:trPr>
        <w:tc>
          <w:tcPr>
            <w:tcW w:w="0" w:type="auto"/>
            <w:shd w:val="clear" w:color="auto" w:fill="FFFFFF" w:themeFill="background1"/>
            <w:noWrap/>
            <w:hideMark/>
          </w:tcPr>
          <w:p w:rsidR="00485D7B" w:rsidRPr="009549EF" w:rsidRDefault="00485D7B" w:rsidP="009549EF">
            <w:pPr>
              <w:spacing w:after="0" w:line="240" w:lineRule="auto"/>
              <w:rPr>
                <w:rFonts w:ascii="Arial" w:hAnsi="Arial" w:cs="Arial"/>
                <w:b/>
                <w:bCs/>
                <w:color w:val="000000"/>
                <w:sz w:val="18"/>
                <w:szCs w:val="18"/>
              </w:rPr>
            </w:pPr>
            <w:r w:rsidRPr="009549EF">
              <w:rPr>
                <w:rFonts w:ascii="Arial" w:hAnsi="Arial" w:cs="Arial"/>
                <w:b/>
                <w:bCs/>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16/17</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17/18</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18/19</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16/17</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17/18</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18/19</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16/17</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17/18</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18/19</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16/17</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17/18</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18/19</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16/17</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17/18</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18/19</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16/17</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17/18</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18/19</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16/17</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17/18</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18/19</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16/17</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17/18</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18/19</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16/17</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17/18</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18/19</w:t>
            </w:r>
          </w:p>
        </w:tc>
      </w:tr>
      <w:tr w:rsidR="009549EF" w:rsidRPr="009549EF" w:rsidTr="00C30441">
        <w:trPr>
          <w:trHeight w:val="252"/>
        </w:trPr>
        <w:tc>
          <w:tcPr>
            <w:tcW w:w="0" w:type="auto"/>
            <w:shd w:val="clear" w:color="auto" w:fill="FFFFFF" w:themeFill="background1"/>
            <w:noWrap/>
            <w:hideMark/>
          </w:tcPr>
          <w:p w:rsidR="00485D7B" w:rsidRPr="009549EF" w:rsidRDefault="00485D7B" w:rsidP="009549EF">
            <w:pPr>
              <w:spacing w:after="0" w:line="240" w:lineRule="auto"/>
              <w:rPr>
                <w:rFonts w:ascii="Arial" w:hAnsi="Arial" w:cs="Arial"/>
                <w:b/>
                <w:bCs/>
                <w:color w:val="000000"/>
                <w:sz w:val="18"/>
                <w:szCs w:val="18"/>
              </w:rPr>
            </w:pPr>
            <w:r w:rsidRPr="009549EF">
              <w:rPr>
                <w:rFonts w:ascii="Arial" w:hAnsi="Arial" w:cs="Arial"/>
                <w:b/>
                <w:bCs/>
                <w:color w:val="000000"/>
                <w:sz w:val="18"/>
                <w:szCs w:val="18"/>
              </w:rPr>
              <w:t>Age</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4</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5</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7</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2</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2</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4</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9</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82</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64</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49</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37</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18</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29</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4</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2</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6</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131</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94</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100</w:t>
            </w:r>
          </w:p>
        </w:tc>
      </w:tr>
      <w:tr w:rsidR="009549EF" w:rsidRPr="009549EF" w:rsidTr="00C30441">
        <w:trPr>
          <w:trHeight w:val="252"/>
        </w:trPr>
        <w:tc>
          <w:tcPr>
            <w:tcW w:w="0" w:type="auto"/>
            <w:shd w:val="clear" w:color="auto" w:fill="FFFFFF" w:themeFill="background1"/>
            <w:noWrap/>
            <w:hideMark/>
          </w:tcPr>
          <w:p w:rsidR="00485D7B" w:rsidRPr="009549EF" w:rsidRDefault="00485D7B" w:rsidP="009549EF">
            <w:pPr>
              <w:spacing w:after="0" w:line="240" w:lineRule="auto"/>
              <w:rPr>
                <w:rFonts w:ascii="Arial" w:hAnsi="Arial" w:cs="Arial"/>
                <w:b/>
                <w:bCs/>
                <w:color w:val="000000"/>
                <w:sz w:val="18"/>
                <w:szCs w:val="18"/>
              </w:rPr>
            </w:pPr>
            <w:r w:rsidRPr="009549EF">
              <w:rPr>
                <w:rFonts w:ascii="Arial" w:hAnsi="Arial" w:cs="Arial"/>
                <w:b/>
                <w:bCs/>
                <w:color w:val="000000"/>
                <w:sz w:val="18"/>
                <w:szCs w:val="18"/>
              </w:rPr>
              <w:t>Authorising and assisting</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4</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22</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6</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3</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sz w:val="18"/>
                <w:szCs w:val="18"/>
              </w:rPr>
            </w:pPr>
            <w:r w:rsidRPr="009549EF">
              <w:rPr>
                <w:rFonts w:ascii="Arial" w:hAnsi="Arial" w:cs="Arial"/>
                <w:sz w:val="18"/>
                <w:szCs w:val="18"/>
              </w:rPr>
              <w:t>18</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6</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3</w:t>
            </w:r>
          </w:p>
        </w:tc>
      </w:tr>
      <w:tr w:rsidR="009549EF" w:rsidRPr="009549EF" w:rsidTr="00C30441">
        <w:trPr>
          <w:trHeight w:val="252"/>
        </w:trPr>
        <w:tc>
          <w:tcPr>
            <w:tcW w:w="0" w:type="auto"/>
            <w:shd w:val="clear" w:color="auto" w:fill="FFFFFF" w:themeFill="background1"/>
            <w:noWrap/>
            <w:hideMark/>
          </w:tcPr>
          <w:p w:rsidR="00485D7B" w:rsidRPr="009549EF" w:rsidRDefault="00485D7B" w:rsidP="009549EF">
            <w:pPr>
              <w:spacing w:after="0" w:line="240" w:lineRule="auto"/>
              <w:rPr>
                <w:rFonts w:ascii="Arial" w:hAnsi="Arial" w:cs="Arial"/>
                <w:b/>
                <w:bCs/>
                <w:color w:val="000000"/>
                <w:sz w:val="18"/>
                <w:szCs w:val="18"/>
              </w:rPr>
            </w:pPr>
            <w:r w:rsidRPr="009549EF">
              <w:rPr>
                <w:rFonts w:ascii="Arial" w:hAnsi="Arial" w:cs="Arial"/>
                <w:b/>
                <w:bCs/>
                <w:color w:val="000000"/>
                <w:sz w:val="18"/>
                <w:szCs w:val="18"/>
              </w:rPr>
              <w:t>Breastfeeding</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2</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2</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3</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6</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5</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7</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3</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10</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11</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8</w:t>
            </w:r>
          </w:p>
        </w:tc>
      </w:tr>
      <w:tr w:rsidR="009549EF" w:rsidRPr="009549EF" w:rsidTr="00C30441">
        <w:trPr>
          <w:trHeight w:val="252"/>
        </w:trPr>
        <w:tc>
          <w:tcPr>
            <w:tcW w:w="0" w:type="auto"/>
            <w:shd w:val="clear" w:color="auto" w:fill="FFFFFF" w:themeFill="background1"/>
            <w:noWrap/>
            <w:hideMark/>
          </w:tcPr>
          <w:p w:rsidR="00485D7B" w:rsidRPr="009549EF" w:rsidRDefault="00485D7B" w:rsidP="009549EF">
            <w:pPr>
              <w:spacing w:after="0" w:line="240" w:lineRule="auto"/>
              <w:rPr>
                <w:rFonts w:ascii="Arial" w:hAnsi="Arial" w:cs="Arial"/>
                <w:b/>
                <w:bCs/>
                <w:color w:val="000000"/>
                <w:sz w:val="18"/>
                <w:szCs w:val="18"/>
              </w:rPr>
            </w:pPr>
            <w:r w:rsidRPr="009549EF">
              <w:rPr>
                <w:rFonts w:ascii="Arial" w:hAnsi="Arial" w:cs="Arial"/>
                <w:b/>
                <w:bCs/>
                <w:color w:val="000000"/>
                <w:sz w:val="18"/>
                <w:szCs w:val="18"/>
              </w:rPr>
              <w:t>Carer status</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7</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10</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4</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6</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9</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76</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64</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49</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23</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12</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19</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106</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92</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81</w:t>
            </w:r>
          </w:p>
        </w:tc>
      </w:tr>
      <w:tr w:rsidR="009549EF" w:rsidRPr="009549EF" w:rsidTr="00C30441">
        <w:trPr>
          <w:trHeight w:val="252"/>
        </w:trPr>
        <w:tc>
          <w:tcPr>
            <w:tcW w:w="0" w:type="auto"/>
            <w:shd w:val="clear" w:color="auto" w:fill="FFFFFF" w:themeFill="background1"/>
            <w:noWrap/>
            <w:hideMark/>
          </w:tcPr>
          <w:p w:rsidR="00485D7B" w:rsidRPr="009549EF" w:rsidRDefault="00485D7B" w:rsidP="009549EF">
            <w:pPr>
              <w:spacing w:after="0" w:line="240" w:lineRule="auto"/>
              <w:rPr>
                <w:rFonts w:ascii="Arial" w:hAnsi="Arial" w:cs="Arial"/>
                <w:b/>
                <w:bCs/>
                <w:color w:val="000000"/>
                <w:sz w:val="18"/>
                <w:szCs w:val="18"/>
              </w:rPr>
            </w:pPr>
            <w:r w:rsidRPr="009549EF">
              <w:rPr>
                <w:rFonts w:ascii="Arial" w:hAnsi="Arial" w:cs="Arial"/>
                <w:b/>
                <w:bCs/>
                <w:color w:val="000000"/>
                <w:sz w:val="18"/>
                <w:szCs w:val="18"/>
              </w:rPr>
              <w:t>Disability</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69</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68</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61</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2</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68</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67</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62</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289</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282</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206</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163</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245</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258</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5</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7</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596</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663</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595</w:t>
            </w:r>
          </w:p>
        </w:tc>
      </w:tr>
      <w:tr w:rsidR="009549EF" w:rsidRPr="009549EF" w:rsidTr="00C30441">
        <w:trPr>
          <w:trHeight w:val="252"/>
        </w:trPr>
        <w:tc>
          <w:tcPr>
            <w:tcW w:w="0" w:type="auto"/>
            <w:shd w:val="clear" w:color="auto" w:fill="FFFFFF" w:themeFill="background1"/>
            <w:noWrap/>
            <w:hideMark/>
          </w:tcPr>
          <w:p w:rsidR="00485D7B" w:rsidRPr="009549EF" w:rsidRDefault="00485D7B" w:rsidP="009549EF">
            <w:pPr>
              <w:spacing w:after="0" w:line="240" w:lineRule="auto"/>
              <w:rPr>
                <w:rFonts w:ascii="Arial" w:hAnsi="Arial" w:cs="Arial"/>
                <w:b/>
                <w:bCs/>
                <w:color w:val="000000"/>
                <w:sz w:val="18"/>
                <w:szCs w:val="18"/>
              </w:rPr>
            </w:pPr>
            <w:r w:rsidRPr="009549EF">
              <w:rPr>
                <w:rFonts w:ascii="Arial" w:hAnsi="Arial" w:cs="Arial"/>
                <w:b/>
                <w:bCs/>
                <w:color w:val="000000"/>
                <w:sz w:val="18"/>
                <w:szCs w:val="18"/>
              </w:rPr>
              <w:t>Discriminatory information request</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5</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5</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6</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5</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5</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6</w:t>
            </w:r>
          </w:p>
        </w:tc>
      </w:tr>
      <w:tr w:rsidR="009549EF" w:rsidRPr="009549EF" w:rsidTr="00C30441">
        <w:trPr>
          <w:trHeight w:val="252"/>
        </w:trPr>
        <w:tc>
          <w:tcPr>
            <w:tcW w:w="0" w:type="auto"/>
            <w:shd w:val="clear" w:color="auto" w:fill="FFFFFF" w:themeFill="background1"/>
            <w:noWrap/>
            <w:hideMark/>
          </w:tcPr>
          <w:p w:rsidR="00485D7B" w:rsidRPr="009549EF" w:rsidRDefault="00485D7B" w:rsidP="009549EF">
            <w:pPr>
              <w:spacing w:after="0" w:line="240" w:lineRule="auto"/>
              <w:rPr>
                <w:rFonts w:ascii="Arial" w:hAnsi="Arial" w:cs="Arial"/>
                <w:b/>
                <w:bCs/>
                <w:color w:val="000000"/>
                <w:sz w:val="18"/>
                <w:szCs w:val="18"/>
              </w:rPr>
            </w:pPr>
            <w:r w:rsidRPr="009549EF">
              <w:rPr>
                <w:rFonts w:ascii="Arial" w:hAnsi="Arial" w:cs="Arial"/>
                <w:b/>
                <w:bCs/>
                <w:color w:val="000000"/>
                <w:sz w:val="18"/>
                <w:szCs w:val="18"/>
              </w:rPr>
              <w:t>Employment activity</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102</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113</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115</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102</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113</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115</w:t>
            </w:r>
          </w:p>
        </w:tc>
      </w:tr>
      <w:tr w:rsidR="009549EF" w:rsidRPr="009549EF" w:rsidTr="00C30441">
        <w:trPr>
          <w:trHeight w:val="252"/>
        </w:trPr>
        <w:tc>
          <w:tcPr>
            <w:tcW w:w="0" w:type="auto"/>
            <w:shd w:val="clear" w:color="auto" w:fill="FFFFFF" w:themeFill="background1"/>
            <w:noWrap/>
            <w:hideMark/>
          </w:tcPr>
          <w:p w:rsidR="00485D7B" w:rsidRPr="009549EF" w:rsidRDefault="00485D7B" w:rsidP="009549EF">
            <w:pPr>
              <w:spacing w:after="0" w:line="240" w:lineRule="auto"/>
              <w:rPr>
                <w:rFonts w:ascii="Arial" w:hAnsi="Arial" w:cs="Arial"/>
                <w:b/>
                <w:bCs/>
                <w:color w:val="000000"/>
                <w:sz w:val="18"/>
                <w:szCs w:val="18"/>
              </w:rPr>
            </w:pPr>
            <w:r w:rsidRPr="009549EF">
              <w:rPr>
                <w:rFonts w:ascii="Arial" w:hAnsi="Arial" w:cs="Arial"/>
                <w:b/>
                <w:bCs/>
                <w:color w:val="000000"/>
                <w:sz w:val="18"/>
                <w:szCs w:val="18"/>
              </w:rPr>
              <w:t>Expunged Homosexual Conviction</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r>
      <w:tr w:rsidR="009549EF" w:rsidRPr="009549EF" w:rsidTr="00C30441">
        <w:trPr>
          <w:trHeight w:val="252"/>
        </w:trPr>
        <w:tc>
          <w:tcPr>
            <w:tcW w:w="0" w:type="auto"/>
            <w:shd w:val="clear" w:color="auto" w:fill="FFFFFF" w:themeFill="background1"/>
            <w:noWrap/>
            <w:hideMark/>
          </w:tcPr>
          <w:p w:rsidR="00485D7B" w:rsidRPr="009549EF" w:rsidRDefault="00485D7B" w:rsidP="009549EF">
            <w:pPr>
              <w:spacing w:after="0" w:line="240" w:lineRule="auto"/>
              <w:rPr>
                <w:rFonts w:ascii="Arial" w:hAnsi="Arial" w:cs="Arial"/>
                <w:b/>
                <w:bCs/>
                <w:color w:val="000000"/>
                <w:sz w:val="18"/>
                <w:szCs w:val="18"/>
              </w:rPr>
            </w:pPr>
            <w:r w:rsidRPr="009549EF">
              <w:rPr>
                <w:rFonts w:ascii="Arial" w:hAnsi="Arial" w:cs="Arial"/>
                <w:b/>
                <w:bCs/>
                <w:color w:val="000000"/>
                <w:sz w:val="18"/>
                <w:szCs w:val="18"/>
              </w:rPr>
              <w:t>Gender identity</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3</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3</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2</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2</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10</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6</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7</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7</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10</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13</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17</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21</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25</w:t>
            </w:r>
          </w:p>
        </w:tc>
      </w:tr>
      <w:tr w:rsidR="009549EF" w:rsidRPr="009549EF" w:rsidTr="00C30441">
        <w:trPr>
          <w:trHeight w:val="252"/>
        </w:trPr>
        <w:tc>
          <w:tcPr>
            <w:tcW w:w="0" w:type="auto"/>
            <w:shd w:val="clear" w:color="auto" w:fill="FFFFFF" w:themeFill="background1"/>
            <w:noWrap/>
            <w:hideMark/>
          </w:tcPr>
          <w:p w:rsidR="00485D7B" w:rsidRPr="009549EF" w:rsidRDefault="00485D7B" w:rsidP="009549EF">
            <w:pPr>
              <w:spacing w:after="0" w:line="240" w:lineRule="auto"/>
              <w:rPr>
                <w:rFonts w:ascii="Arial" w:hAnsi="Arial" w:cs="Arial"/>
                <w:b/>
                <w:bCs/>
                <w:color w:val="000000"/>
                <w:sz w:val="18"/>
                <w:szCs w:val="18"/>
              </w:rPr>
            </w:pPr>
            <w:r w:rsidRPr="009549EF">
              <w:rPr>
                <w:rFonts w:ascii="Arial" w:hAnsi="Arial" w:cs="Arial"/>
                <w:b/>
                <w:bCs/>
                <w:color w:val="000000"/>
                <w:sz w:val="18"/>
                <w:szCs w:val="18"/>
              </w:rPr>
              <w:t>Industrial activity</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16</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23</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18</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16</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23</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19</w:t>
            </w:r>
          </w:p>
        </w:tc>
      </w:tr>
      <w:tr w:rsidR="009549EF" w:rsidRPr="009549EF" w:rsidTr="00C30441">
        <w:trPr>
          <w:trHeight w:val="252"/>
        </w:trPr>
        <w:tc>
          <w:tcPr>
            <w:tcW w:w="0" w:type="auto"/>
            <w:shd w:val="clear" w:color="auto" w:fill="FFFFFF" w:themeFill="background1"/>
            <w:noWrap/>
            <w:hideMark/>
          </w:tcPr>
          <w:p w:rsidR="00485D7B" w:rsidRPr="009549EF" w:rsidRDefault="00485D7B" w:rsidP="009549EF">
            <w:pPr>
              <w:spacing w:after="0" w:line="240" w:lineRule="auto"/>
              <w:rPr>
                <w:rFonts w:ascii="Arial" w:hAnsi="Arial" w:cs="Arial"/>
                <w:b/>
                <w:bCs/>
                <w:color w:val="000000"/>
                <w:sz w:val="18"/>
                <w:szCs w:val="18"/>
              </w:rPr>
            </w:pPr>
            <w:r w:rsidRPr="009549EF">
              <w:rPr>
                <w:rFonts w:ascii="Arial" w:hAnsi="Arial" w:cs="Arial"/>
                <w:b/>
                <w:bCs/>
                <w:color w:val="000000"/>
                <w:sz w:val="18"/>
                <w:szCs w:val="18"/>
              </w:rPr>
              <w:t>Lawful sexual activity</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3</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11</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3</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17</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3</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10</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14</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16</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18</w:t>
            </w:r>
          </w:p>
        </w:tc>
      </w:tr>
      <w:tr w:rsidR="009549EF" w:rsidRPr="009549EF" w:rsidTr="00C30441">
        <w:trPr>
          <w:trHeight w:val="252"/>
        </w:trPr>
        <w:tc>
          <w:tcPr>
            <w:tcW w:w="0" w:type="auto"/>
            <w:shd w:val="clear" w:color="auto" w:fill="FFFFFF" w:themeFill="background1"/>
            <w:noWrap/>
            <w:hideMark/>
          </w:tcPr>
          <w:p w:rsidR="00485D7B" w:rsidRPr="009549EF" w:rsidRDefault="00485D7B" w:rsidP="009549EF">
            <w:pPr>
              <w:spacing w:after="0" w:line="240" w:lineRule="auto"/>
              <w:rPr>
                <w:rFonts w:ascii="Arial" w:hAnsi="Arial" w:cs="Arial"/>
                <w:b/>
                <w:bCs/>
                <w:color w:val="000000"/>
                <w:sz w:val="18"/>
                <w:szCs w:val="18"/>
              </w:rPr>
            </w:pPr>
            <w:r w:rsidRPr="009549EF">
              <w:rPr>
                <w:rFonts w:ascii="Arial" w:hAnsi="Arial" w:cs="Arial"/>
                <w:b/>
                <w:bCs/>
                <w:color w:val="000000"/>
                <w:sz w:val="18"/>
                <w:szCs w:val="18"/>
              </w:rPr>
              <w:t>Marital status</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2</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3</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4</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10</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11</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15</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5</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11</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6</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17</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25</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26</w:t>
            </w:r>
          </w:p>
        </w:tc>
      </w:tr>
      <w:tr w:rsidR="009549EF" w:rsidRPr="009549EF" w:rsidTr="00C30441">
        <w:trPr>
          <w:trHeight w:val="252"/>
        </w:trPr>
        <w:tc>
          <w:tcPr>
            <w:tcW w:w="0" w:type="auto"/>
            <w:shd w:val="clear" w:color="auto" w:fill="FFFFFF" w:themeFill="background1"/>
            <w:noWrap/>
            <w:hideMark/>
          </w:tcPr>
          <w:p w:rsidR="00485D7B" w:rsidRPr="009549EF" w:rsidRDefault="00485D7B" w:rsidP="009549EF">
            <w:pPr>
              <w:spacing w:after="0" w:line="240" w:lineRule="auto"/>
              <w:rPr>
                <w:rFonts w:ascii="Arial" w:hAnsi="Arial" w:cs="Arial"/>
                <w:b/>
                <w:bCs/>
                <w:color w:val="000000"/>
                <w:sz w:val="18"/>
                <w:szCs w:val="18"/>
              </w:rPr>
            </w:pPr>
            <w:r w:rsidRPr="009549EF">
              <w:rPr>
                <w:rFonts w:ascii="Arial" w:hAnsi="Arial" w:cs="Arial"/>
                <w:b/>
                <w:bCs/>
                <w:color w:val="000000"/>
                <w:sz w:val="18"/>
                <w:szCs w:val="18"/>
              </w:rPr>
              <w:t>Parental status</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4</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10</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4</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3</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2</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4</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60</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50</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45</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16</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10</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15</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83</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72</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68</w:t>
            </w:r>
          </w:p>
        </w:tc>
      </w:tr>
      <w:tr w:rsidR="009549EF" w:rsidRPr="009549EF" w:rsidTr="00C30441">
        <w:trPr>
          <w:trHeight w:val="252"/>
        </w:trPr>
        <w:tc>
          <w:tcPr>
            <w:tcW w:w="0" w:type="auto"/>
            <w:shd w:val="clear" w:color="auto" w:fill="FFFFFF" w:themeFill="background1"/>
            <w:noWrap/>
            <w:hideMark/>
          </w:tcPr>
          <w:p w:rsidR="00485D7B" w:rsidRPr="009549EF" w:rsidRDefault="00485D7B" w:rsidP="009549EF">
            <w:pPr>
              <w:spacing w:after="0" w:line="240" w:lineRule="auto"/>
              <w:rPr>
                <w:rFonts w:ascii="Arial" w:hAnsi="Arial" w:cs="Arial"/>
                <w:b/>
                <w:bCs/>
                <w:color w:val="000000"/>
                <w:sz w:val="18"/>
                <w:szCs w:val="18"/>
              </w:rPr>
            </w:pPr>
            <w:r w:rsidRPr="009549EF">
              <w:rPr>
                <w:rFonts w:ascii="Arial" w:hAnsi="Arial" w:cs="Arial"/>
                <w:b/>
                <w:bCs/>
                <w:color w:val="000000"/>
                <w:sz w:val="18"/>
                <w:szCs w:val="18"/>
              </w:rPr>
              <w:t>Personal association</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15</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7</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5</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3</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7</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16</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6</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23</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29</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15</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47</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52</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29</w:t>
            </w:r>
          </w:p>
        </w:tc>
      </w:tr>
      <w:tr w:rsidR="009549EF" w:rsidRPr="009549EF" w:rsidTr="00C30441">
        <w:trPr>
          <w:trHeight w:val="252"/>
        </w:trPr>
        <w:tc>
          <w:tcPr>
            <w:tcW w:w="0" w:type="auto"/>
            <w:shd w:val="clear" w:color="auto" w:fill="FFFFFF" w:themeFill="background1"/>
            <w:noWrap/>
            <w:hideMark/>
          </w:tcPr>
          <w:p w:rsidR="00485D7B" w:rsidRPr="009549EF" w:rsidRDefault="00485D7B" w:rsidP="009549EF">
            <w:pPr>
              <w:spacing w:after="0" w:line="240" w:lineRule="auto"/>
              <w:rPr>
                <w:rFonts w:ascii="Arial" w:hAnsi="Arial" w:cs="Arial"/>
                <w:b/>
                <w:bCs/>
                <w:color w:val="000000"/>
                <w:sz w:val="18"/>
                <w:szCs w:val="18"/>
              </w:rPr>
            </w:pPr>
            <w:r w:rsidRPr="009549EF">
              <w:rPr>
                <w:rFonts w:ascii="Arial" w:hAnsi="Arial" w:cs="Arial"/>
                <w:b/>
                <w:bCs/>
                <w:color w:val="000000"/>
                <w:sz w:val="18"/>
                <w:szCs w:val="18"/>
              </w:rPr>
              <w:t>Physical features</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2</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7</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31</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40</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17</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15</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19</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13</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48</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61</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39</w:t>
            </w:r>
          </w:p>
        </w:tc>
      </w:tr>
      <w:tr w:rsidR="009549EF" w:rsidRPr="009549EF" w:rsidTr="00C30441">
        <w:trPr>
          <w:trHeight w:val="252"/>
        </w:trPr>
        <w:tc>
          <w:tcPr>
            <w:tcW w:w="0" w:type="auto"/>
            <w:shd w:val="clear" w:color="auto" w:fill="FFFFFF" w:themeFill="background1"/>
            <w:noWrap/>
            <w:hideMark/>
          </w:tcPr>
          <w:p w:rsidR="00485D7B" w:rsidRPr="009549EF" w:rsidRDefault="00485D7B" w:rsidP="009549EF">
            <w:pPr>
              <w:spacing w:after="0" w:line="240" w:lineRule="auto"/>
              <w:rPr>
                <w:rFonts w:ascii="Arial" w:hAnsi="Arial" w:cs="Arial"/>
                <w:b/>
                <w:bCs/>
                <w:color w:val="000000"/>
                <w:sz w:val="18"/>
                <w:szCs w:val="18"/>
              </w:rPr>
            </w:pPr>
            <w:r w:rsidRPr="009549EF">
              <w:rPr>
                <w:rFonts w:ascii="Arial" w:hAnsi="Arial" w:cs="Arial"/>
                <w:b/>
                <w:bCs/>
                <w:color w:val="000000"/>
                <w:sz w:val="18"/>
                <w:szCs w:val="18"/>
              </w:rPr>
              <w:t>Political belief or activity</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2</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2</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2</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3</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2</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2</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3</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2</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sz w:val="18"/>
                <w:szCs w:val="18"/>
              </w:rPr>
            </w:pPr>
            <w:r w:rsidRPr="009549EF">
              <w:rPr>
                <w:rFonts w:ascii="Arial" w:hAnsi="Arial" w:cs="Arial"/>
                <w:sz w:val="18"/>
                <w:szCs w:val="18"/>
              </w:rPr>
              <w:t>2</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7</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7</w:t>
            </w:r>
          </w:p>
        </w:tc>
      </w:tr>
      <w:tr w:rsidR="009549EF" w:rsidRPr="009549EF" w:rsidTr="00C30441">
        <w:trPr>
          <w:trHeight w:val="252"/>
        </w:trPr>
        <w:tc>
          <w:tcPr>
            <w:tcW w:w="0" w:type="auto"/>
            <w:shd w:val="clear" w:color="auto" w:fill="FFFFFF" w:themeFill="background1"/>
            <w:noWrap/>
            <w:hideMark/>
          </w:tcPr>
          <w:p w:rsidR="00485D7B" w:rsidRPr="009549EF" w:rsidRDefault="00485D7B" w:rsidP="009549EF">
            <w:pPr>
              <w:spacing w:after="0" w:line="240" w:lineRule="auto"/>
              <w:rPr>
                <w:rFonts w:ascii="Arial" w:hAnsi="Arial" w:cs="Arial"/>
                <w:b/>
                <w:bCs/>
                <w:color w:val="000000"/>
                <w:sz w:val="18"/>
                <w:szCs w:val="18"/>
              </w:rPr>
            </w:pPr>
            <w:r w:rsidRPr="009549EF">
              <w:rPr>
                <w:rFonts w:ascii="Arial" w:hAnsi="Arial" w:cs="Arial"/>
                <w:b/>
                <w:bCs/>
                <w:color w:val="000000"/>
                <w:sz w:val="18"/>
                <w:szCs w:val="18"/>
              </w:rPr>
              <w:t>Pregnancy</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3</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38</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23</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35</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3</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40</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29</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36</w:t>
            </w:r>
          </w:p>
        </w:tc>
      </w:tr>
      <w:tr w:rsidR="009549EF" w:rsidRPr="009549EF" w:rsidTr="00C30441">
        <w:trPr>
          <w:trHeight w:val="252"/>
        </w:trPr>
        <w:tc>
          <w:tcPr>
            <w:tcW w:w="0" w:type="auto"/>
            <w:shd w:val="clear" w:color="auto" w:fill="FFFFFF" w:themeFill="background1"/>
            <w:noWrap/>
            <w:hideMark/>
          </w:tcPr>
          <w:p w:rsidR="00485D7B" w:rsidRPr="009549EF" w:rsidRDefault="00485D7B" w:rsidP="009549EF">
            <w:pPr>
              <w:spacing w:after="0" w:line="240" w:lineRule="auto"/>
              <w:rPr>
                <w:rFonts w:ascii="Arial" w:hAnsi="Arial" w:cs="Arial"/>
                <w:b/>
                <w:bCs/>
                <w:color w:val="000000"/>
                <w:sz w:val="18"/>
                <w:szCs w:val="18"/>
              </w:rPr>
            </w:pPr>
            <w:r w:rsidRPr="009549EF">
              <w:rPr>
                <w:rFonts w:ascii="Arial" w:hAnsi="Arial" w:cs="Arial"/>
                <w:b/>
                <w:bCs/>
                <w:color w:val="000000"/>
                <w:sz w:val="18"/>
                <w:szCs w:val="18"/>
              </w:rPr>
              <w:t>Race</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4</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13</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19</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12</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20</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13</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56</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109</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96</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36</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62</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58</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3</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110</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207</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188</w:t>
            </w:r>
          </w:p>
        </w:tc>
      </w:tr>
      <w:tr w:rsidR="009549EF" w:rsidRPr="009549EF" w:rsidTr="00C30441">
        <w:trPr>
          <w:trHeight w:val="252"/>
        </w:trPr>
        <w:tc>
          <w:tcPr>
            <w:tcW w:w="0" w:type="auto"/>
            <w:shd w:val="clear" w:color="auto" w:fill="FFFFFF" w:themeFill="background1"/>
            <w:noWrap/>
            <w:hideMark/>
          </w:tcPr>
          <w:p w:rsidR="00485D7B" w:rsidRPr="009549EF" w:rsidRDefault="00485D7B" w:rsidP="009549EF">
            <w:pPr>
              <w:spacing w:after="0" w:line="240" w:lineRule="auto"/>
              <w:rPr>
                <w:rFonts w:ascii="Arial" w:hAnsi="Arial" w:cs="Arial"/>
                <w:b/>
                <w:bCs/>
                <w:color w:val="000000"/>
                <w:sz w:val="18"/>
                <w:szCs w:val="18"/>
              </w:rPr>
            </w:pPr>
            <w:r w:rsidRPr="009549EF">
              <w:rPr>
                <w:rFonts w:ascii="Arial" w:hAnsi="Arial" w:cs="Arial"/>
                <w:b/>
                <w:bCs/>
                <w:color w:val="000000"/>
                <w:sz w:val="18"/>
                <w:szCs w:val="18"/>
              </w:rPr>
              <w:t>Racial vilification</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9</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4</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4</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3</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4</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4</w:t>
            </w:r>
          </w:p>
        </w:tc>
      </w:tr>
      <w:tr w:rsidR="009549EF" w:rsidRPr="009549EF" w:rsidTr="00C30441">
        <w:trPr>
          <w:trHeight w:val="252"/>
        </w:trPr>
        <w:tc>
          <w:tcPr>
            <w:tcW w:w="0" w:type="auto"/>
            <w:shd w:val="clear" w:color="auto" w:fill="FFFFFF" w:themeFill="background1"/>
            <w:noWrap/>
            <w:hideMark/>
          </w:tcPr>
          <w:p w:rsidR="00485D7B" w:rsidRPr="009549EF" w:rsidRDefault="00485D7B" w:rsidP="009549EF">
            <w:pPr>
              <w:spacing w:after="0" w:line="240" w:lineRule="auto"/>
              <w:rPr>
                <w:rFonts w:ascii="Arial" w:hAnsi="Arial" w:cs="Arial"/>
                <w:b/>
                <w:bCs/>
                <w:color w:val="000000"/>
                <w:sz w:val="18"/>
                <w:szCs w:val="18"/>
              </w:rPr>
            </w:pPr>
            <w:r w:rsidRPr="009549EF">
              <w:rPr>
                <w:rFonts w:ascii="Arial" w:hAnsi="Arial" w:cs="Arial"/>
                <w:b/>
                <w:bCs/>
                <w:color w:val="000000"/>
                <w:sz w:val="18"/>
                <w:szCs w:val="18"/>
              </w:rPr>
              <w:t>Religious belief or activity</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4</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4</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3</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13</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22</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23</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28</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11</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35</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14</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37</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65</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56</w:t>
            </w:r>
          </w:p>
        </w:tc>
      </w:tr>
      <w:tr w:rsidR="009549EF" w:rsidRPr="009549EF" w:rsidTr="00C30441">
        <w:trPr>
          <w:trHeight w:val="252"/>
        </w:trPr>
        <w:tc>
          <w:tcPr>
            <w:tcW w:w="0" w:type="auto"/>
            <w:shd w:val="clear" w:color="auto" w:fill="FFFFFF" w:themeFill="background1"/>
            <w:noWrap/>
            <w:hideMark/>
          </w:tcPr>
          <w:p w:rsidR="00485D7B" w:rsidRPr="009549EF" w:rsidRDefault="00485D7B" w:rsidP="009549EF">
            <w:pPr>
              <w:spacing w:after="0" w:line="240" w:lineRule="auto"/>
              <w:rPr>
                <w:rFonts w:ascii="Arial" w:hAnsi="Arial" w:cs="Arial"/>
                <w:b/>
                <w:bCs/>
                <w:color w:val="000000"/>
                <w:sz w:val="18"/>
                <w:szCs w:val="18"/>
              </w:rPr>
            </w:pPr>
            <w:r w:rsidRPr="009549EF">
              <w:rPr>
                <w:rFonts w:ascii="Arial" w:hAnsi="Arial" w:cs="Arial"/>
                <w:b/>
                <w:bCs/>
                <w:color w:val="000000"/>
                <w:sz w:val="18"/>
                <w:szCs w:val="18"/>
              </w:rPr>
              <w:t>Religious vilification</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4</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14</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5</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sz w:val="18"/>
                <w:szCs w:val="18"/>
              </w:rPr>
            </w:pPr>
            <w:r w:rsidRPr="009549EF">
              <w:rPr>
                <w:rFonts w:ascii="Arial" w:hAnsi="Arial" w:cs="Arial"/>
                <w:sz w:val="18"/>
                <w:szCs w:val="18"/>
              </w:rPr>
              <w:t>5</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14</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5</w:t>
            </w:r>
          </w:p>
        </w:tc>
      </w:tr>
      <w:tr w:rsidR="009549EF" w:rsidRPr="009549EF" w:rsidTr="00C30441">
        <w:trPr>
          <w:trHeight w:val="252"/>
        </w:trPr>
        <w:tc>
          <w:tcPr>
            <w:tcW w:w="0" w:type="auto"/>
            <w:shd w:val="clear" w:color="auto" w:fill="FFFFFF" w:themeFill="background1"/>
            <w:noWrap/>
            <w:hideMark/>
          </w:tcPr>
          <w:p w:rsidR="00485D7B" w:rsidRPr="009549EF" w:rsidRDefault="00485D7B" w:rsidP="009549EF">
            <w:pPr>
              <w:spacing w:after="0" w:line="240" w:lineRule="auto"/>
              <w:rPr>
                <w:rFonts w:ascii="Arial" w:hAnsi="Arial" w:cs="Arial"/>
                <w:b/>
                <w:bCs/>
                <w:color w:val="000000"/>
                <w:sz w:val="18"/>
                <w:szCs w:val="18"/>
              </w:rPr>
            </w:pPr>
            <w:r w:rsidRPr="009549EF">
              <w:rPr>
                <w:rFonts w:ascii="Arial" w:hAnsi="Arial" w:cs="Arial"/>
                <w:b/>
                <w:bCs/>
                <w:color w:val="000000"/>
                <w:sz w:val="18"/>
                <w:szCs w:val="18"/>
              </w:rPr>
              <w:t>Sex</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4</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6</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2</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5</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7</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7</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121</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145</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130</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40</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63</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24</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2</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3</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7</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172</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226</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169</w:t>
            </w:r>
          </w:p>
        </w:tc>
      </w:tr>
      <w:tr w:rsidR="009549EF" w:rsidRPr="009549EF" w:rsidTr="00C30441">
        <w:trPr>
          <w:trHeight w:val="252"/>
        </w:trPr>
        <w:tc>
          <w:tcPr>
            <w:tcW w:w="0" w:type="auto"/>
            <w:shd w:val="clear" w:color="auto" w:fill="FFFFFF" w:themeFill="background1"/>
            <w:noWrap/>
            <w:hideMark/>
          </w:tcPr>
          <w:p w:rsidR="00485D7B" w:rsidRPr="009549EF" w:rsidRDefault="00485D7B" w:rsidP="009549EF">
            <w:pPr>
              <w:spacing w:after="0" w:line="240" w:lineRule="auto"/>
              <w:rPr>
                <w:rFonts w:ascii="Arial" w:hAnsi="Arial" w:cs="Arial"/>
                <w:b/>
                <w:bCs/>
                <w:color w:val="000000"/>
                <w:sz w:val="18"/>
                <w:szCs w:val="18"/>
              </w:rPr>
            </w:pPr>
            <w:r w:rsidRPr="009549EF">
              <w:rPr>
                <w:rFonts w:ascii="Arial" w:hAnsi="Arial" w:cs="Arial"/>
                <w:b/>
                <w:bCs/>
                <w:color w:val="000000"/>
                <w:sz w:val="18"/>
                <w:szCs w:val="18"/>
              </w:rPr>
              <w:t>Sexual harassment</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2</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2</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3</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116</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144</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111</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11</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9</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8</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131</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156</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122</w:t>
            </w:r>
          </w:p>
        </w:tc>
      </w:tr>
      <w:tr w:rsidR="009549EF" w:rsidRPr="009549EF" w:rsidTr="00C30441">
        <w:trPr>
          <w:trHeight w:val="252"/>
        </w:trPr>
        <w:tc>
          <w:tcPr>
            <w:tcW w:w="0" w:type="auto"/>
            <w:shd w:val="clear" w:color="auto" w:fill="FFFFFF" w:themeFill="background1"/>
            <w:noWrap/>
            <w:hideMark/>
          </w:tcPr>
          <w:p w:rsidR="00485D7B" w:rsidRPr="009549EF" w:rsidRDefault="00485D7B" w:rsidP="009549EF">
            <w:pPr>
              <w:spacing w:after="0" w:line="240" w:lineRule="auto"/>
              <w:rPr>
                <w:rFonts w:ascii="Arial" w:hAnsi="Arial" w:cs="Arial"/>
                <w:b/>
                <w:bCs/>
                <w:color w:val="000000"/>
                <w:sz w:val="18"/>
                <w:szCs w:val="18"/>
              </w:rPr>
            </w:pPr>
            <w:r w:rsidRPr="009549EF">
              <w:rPr>
                <w:rFonts w:ascii="Arial" w:hAnsi="Arial" w:cs="Arial"/>
                <w:b/>
                <w:bCs/>
                <w:color w:val="000000"/>
                <w:sz w:val="18"/>
                <w:szCs w:val="18"/>
              </w:rPr>
              <w:t>Sexual orientation</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3</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6</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22</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22</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25</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10</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34</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11</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32</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65</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36</w:t>
            </w:r>
          </w:p>
        </w:tc>
      </w:tr>
      <w:tr w:rsidR="009549EF" w:rsidRPr="009549EF" w:rsidTr="00C30441">
        <w:trPr>
          <w:trHeight w:val="252"/>
        </w:trPr>
        <w:tc>
          <w:tcPr>
            <w:tcW w:w="0" w:type="auto"/>
            <w:shd w:val="clear" w:color="auto" w:fill="FFFFFF" w:themeFill="background1"/>
            <w:noWrap/>
            <w:hideMark/>
          </w:tcPr>
          <w:p w:rsidR="00485D7B" w:rsidRPr="009549EF" w:rsidRDefault="00485D7B" w:rsidP="009549EF">
            <w:pPr>
              <w:spacing w:after="0" w:line="240" w:lineRule="auto"/>
              <w:rPr>
                <w:rFonts w:ascii="Arial" w:hAnsi="Arial" w:cs="Arial"/>
                <w:b/>
                <w:bCs/>
                <w:color w:val="000000"/>
                <w:sz w:val="18"/>
                <w:szCs w:val="18"/>
              </w:rPr>
            </w:pPr>
            <w:r w:rsidRPr="009549EF">
              <w:rPr>
                <w:rFonts w:ascii="Arial" w:hAnsi="Arial" w:cs="Arial"/>
                <w:b/>
                <w:bCs/>
                <w:color w:val="000000"/>
                <w:sz w:val="18"/>
                <w:szCs w:val="18"/>
              </w:rPr>
              <w:t>Victimisation</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192</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219</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122</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rPr>
                <w:rFonts w:ascii="Arial" w:hAnsi="Arial" w:cs="Arial"/>
                <w:color w:val="000000"/>
                <w:sz w:val="18"/>
                <w:szCs w:val="18"/>
              </w:rPr>
            </w:pPr>
            <w:r w:rsidRPr="009549EF">
              <w:rPr>
                <w:rFonts w:ascii="Arial" w:hAnsi="Arial" w:cs="Arial"/>
                <w:color w:val="000000"/>
                <w:sz w:val="18"/>
                <w:szCs w:val="18"/>
              </w:rPr>
              <w:t> </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sz w:val="18"/>
                <w:szCs w:val="18"/>
              </w:rPr>
            </w:pPr>
            <w:r w:rsidRPr="009549EF">
              <w:rPr>
                <w:rFonts w:ascii="Arial" w:hAnsi="Arial" w:cs="Arial"/>
                <w:sz w:val="18"/>
                <w:szCs w:val="18"/>
              </w:rPr>
              <w:t>164</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219</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color w:val="000000"/>
                <w:sz w:val="18"/>
                <w:szCs w:val="18"/>
              </w:rPr>
            </w:pPr>
            <w:r w:rsidRPr="009549EF">
              <w:rPr>
                <w:rFonts w:ascii="Arial" w:hAnsi="Arial" w:cs="Arial"/>
                <w:color w:val="000000"/>
                <w:sz w:val="18"/>
                <w:szCs w:val="18"/>
              </w:rPr>
              <w:t>122</w:t>
            </w:r>
          </w:p>
        </w:tc>
      </w:tr>
      <w:tr w:rsidR="009549EF" w:rsidRPr="009549EF" w:rsidTr="00C30441">
        <w:trPr>
          <w:trHeight w:val="252"/>
        </w:trPr>
        <w:tc>
          <w:tcPr>
            <w:tcW w:w="0" w:type="auto"/>
            <w:shd w:val="clear" w:color="auto" w:fill="FFFFFF" w:themeFill="background1"/>
            <w:noWrap/>
            <w:hideMark/>
          </w:tcPr>
          <w:p w:rsidR="00485D7B" w:rsidRPr="009549EF" w:rsidRDefault="00485D7B" w:rsidP="009549EF">
            <w:pPr>
              <w:spacing w:after="0" w:line="240" w:lineRule="auto"/>
              <w:rPr>
                <w:rFonts w:ascii="Arial" w:hAnsi="Arial" w:cs="Arial"/>
                <w:b/>
                <w:sz w:val="18"/>
                <w:szCs w:val="18"/>
              </w:rPr>
            </w:pPr>
            <w:r w:rsidRPr="009549EF">
              <w:rPr>
                <w:rFonts w:ascii="Arial" w:hAnsi="Arial" w:cs="Arial"/>
                <w:b/>
                <w:sz w:val="18"/>
                <w:szCs w:val="18"/>
              </w:rPr>
              <w:t>Total</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b/>
                <w:bCs/>
                <w:sz w:val="18"/>
                <w:szCs w:val="18"/>
              </w:rPr>
            </w:pPr>
            <w:r w:rsidRPr="009549EF">
              <w:rPr>
                <w:rFonts w:ascii="Arial" w:hAnsi="Arial" w:cs="Arial"/>
                <w:b/>
                <w:bCs/>
                <w:sz w:val="18"/>
                <w:szCs w:val="18"/>
              </w:rPr>
              <w:t>111</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b/>
                <w:bCs/>
                <w:sz w:val="18"/>
                <w:szCs w:val="18"/>
              </w:rPr>
            </w:pPr>
            <w:r w:rsidRPr="009549EF">
              <w:rPr>
                <w:rFonts w:ascii="Arial" w:hAnsi="Arial" w:cs="Arial"/>
                <w:b/>
                <w:bCs/>
                <w:sz w:val="18"/>
                <w:szCs w:val="18"/>
              </w:rPr>
              <w:t>139</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b/>
                <w:bCs/>
                <w:sz w:val="18"/>
                <w:szCs w:val="18"/>
              </w:rPr>
            </w:pPr>
            <w:r w:rsidRPr="009549EF">
              <w:rPr>
                <w:rFonts w:ascii="Arial" w:hAnsi="Arial" w:cs="Arial"/>
                <w:b/>
                <w:bCs/>
                <w:sz w:val="18"/>
                <w:szCs w:val="18"/>
              </w:rPr>
              <w:t>111</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b/>
                <w:bCs/>
                <w:sz w:val="18"/>
                <w:szCs w:val="18"/>
              </w:rPr>
            </w:pPr>
            <w:r w:rsidRPr="009549EF">
              <w:rPr>
                <w:rFonts w:ascii="Arial" w:hAnsi="Arial" w:cs="Arial"/>
                <w:b/>
                <w:bCs/>
                <w:sz w:val="18"/>
                <w:szCs w:val="18"/>
              </w:rPr>
              <w:t>6</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b/>
                <w:bCs/>
                <w:sz w:val="18"/>
                <w:szCs w:val="18"/>
              </w:rPr>
            </w:pPr>
            <w:r w:rsidRPr="009549EF">
              <w:rPr>
                <w:rFonts w:ascii="Arial" w:hAnsi="Arial" w:cs="Arial"/>
                <w:b/>
                <w:bCs/>
                <w:sz w:val="18"/>
                <w:szCs w:val="18"/>
              </w:rPr>
              <w:t>5</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b/>
                <w:bCs/>
                <w:sz w:val="18"/>
                <w:szCs w:val="18"/>
              </w:rPr>
            </w:pPr>
            <w:r w:rsidRPr="009549EF">
              <w:rPr>
                <w:rFonts w:ascii="Arial" w:hAnsi="Arial" w:cs="Arial"/>
                <w:b/>
                <w:bCs/>
                <w:sz w:val="18"/>
                <w:szCs w:val="18"/>
              </w:rPr>
              <w:t>3</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b/>
                <w:bCs/>
                <w:sz w:val="18"/>
                <w:szCs w:val="18"/>
              </w:rPr>
            </w:pPr>
            <w:r w:rsidRPr="009549EF">
              <w:rPr>
                <w:rFonts w:ascii="Arial" w:hAnsi="Arial" w:cs="Arial"/>
                <w:b/>
                <w:bCs/>
                <w:sz w:val="18"/>
                <w:szCs w:val="18"/>
              </w:rPr>
              <w:t>104</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b/>
                <w:bCs/>
                <w:sz w:val="18"/>
                <w:szCs w:val="18"/>
              </w:rPr>
            </w:pPr>
            <w:r w:rsidRPr="009549EF">
              <w:rPr>
                <w:rFonts w:ascii="Arial" w:hAnsi="Arial" w:cs="Arial"/>
                <w:b/>
                <w:bCs/>
                <w:sz w:val="18"/>
                <w:szCs w:val="18"/>
              </w:rPr>
              <w:t>123</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b/>
                <w:bCs/>
                <w:sz w:val="18"/>
                <w:szCs w:val="18"/>
              </w:rPr>
            </w:pPr>
            <w:r w:rsidRPr="009549EF">
              <w:rPr>
                <w:rFonts w:ascii="Arial" w:hAnsi="Arial" w:cs="Arial"/>
                <w:b/>
                <w:bCs/>
                <w:sz w:val="18"/>
                <w:szCs w:val="18"/>
              </w:rPr>
              <w:t>134</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b/>
                <w:bCs/>
                <w:sz w:val="18"/>
                <w:szCs w:val="18"/>
              </w:rPr>
            </w:pPr>
            <w:r w:rsidRPr="009549EF">
              <w:rPr>
                <w:rFonts w:ascii="Arial" w:hAnsi="Arial" w:cs="Arial"/>
                <w:b/>
                <w:bCs/>
                <w:sz w:val="18"/>
                <w:szCs w:val="18"/>
              </w:rPr>
              <w:t>1074</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b/>
                <w:bCs/>
                <w:sz w:val="18"/>
                <w:szCs w:val="18"/>
              </w:rPr>
            </w:pPr>
            <w:r w:rsidRPr="009549EF">
              <w:rPr>
                <w:rFonts w:ascii="Arial" w:hAnsi="Arial" w:cs="Arial"/>
                <w:b/>
                <w:bCs/>
                <w:sz w:val="18"/>
                <w:szCs w:val="18"/>
              </w:rPr>
              <w:t>1147</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b/>
                <w:bCs/>
                <w:sz w:val="18"/>
                <w:szCs w:val="18"/>
              </w:rPr>
            </w:pPr>
            <w:r w:rsidRPr="009549EF">
              <w:rPr>
                <w:rFonts w:ascii="Arial" w:hAnsi="Arial" w:cs="Arial"/>
                <w:b/>
                <w:bCs/>
                <w:sz w:val="18"/>
                <w:szCs w:val="18"/>
              </w:rPr>
              <w:t>976</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b/>
                <w:bCs/>
                <w:sz w:val="18"/>
                <w:szCs w:val="18"/>
              </w:rPr>
            </w:pPr>
            <w:r w:rsidRPr="009549EF">
              <w:rPr>
                <w:rFonts w:ascii="Arial" w:hAnsi="Arial" w:cs="Arial"/>
                <w:b/>
                <w:bCs/>
                <w:sz w:val="18"/>
                <w:szCs w:val="18"/>
              </w:rPr>
              <w:t>408</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b/>
                <w:bCs/>
                <w:sz w:val="18"/>
                <w:szCs w:val="18"/>
              </w:rPr>
            </w:pPr>
            <w:r w:rsidRPr="009549EF">
              <w:rPr>
                <w:rFonts w:ascii="Arial" w:hAnsi="Arial" w:cs="Arial"/>
                <w:b/>
                <w:bCs/>
                <w:sz w:val="18"/>
                <w:szCs w:val="18"/>
              </w:rPr>
              <w:t>575</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b/>
                <w:bCs/>
                <w:sz w:val="18"/>
                <w:szCs w:val="18"/>
              </w:rPr>
            </w:pPr>
            <w:r w:rsidRPr="009549EF">
              <w:rPr>
                <w:rFonts w:ascii="Arial" w:hAnsi="Arial" w:cs="Arial"/>
                <w:b/>
                <w:bCs/>
                <w:sz w:val="18"/>
                <w:szCs w:val="18"/>
              </w:rPr>
              <w:t>489</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b/>
                <w:bCs/>
                <w:sz w:val="18"/>
                <w:szCs w:val="18"/>
              </w:rPr>
            </w:pPr>
            <w:r w:rsidRPr="009549EF">
              <w:rPr>
                <w:rFonts w:ascii="Arial" w:hAnsi="Arial" w:cs="Arial"/>
                <w:b/>
                <w:bCs/>
                <w:sz w:val="18"/>
                <w:szCs w:val="18"/>
              </w:rPr>
              <w:t>2</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b/>
                <w:bCs/>
                <w:sz w:val="18"/>
                <w:szCs w:val="18"/>
              </w:rPr>
            </w:pPr>
            <w:r w:rsidRPr="009549EF">
              <w:rPr>
                <w:rFonts w:ascii="Arial" w:hAnsi="Arial" w:cs="Arial"/>
                <w:b/>
                <w:bCs/>
                <w:sz w:val="18"/>
                <w:szCs w:val="18"/>
              </w:rPr>
              <w:t>0</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b/>
                <w:bCs/>
                <w:sz w:val="18"/>
                <w:szCs w:val="18"/>
              </w:rPr>
            </w:pPr>
            <w:r w:rsidRPr="009549EF">
              <w:rPr>
                <w:rFonts w:ascii="Arial" w:hAnsi="Arial" w:cs="Arial"/>
                <w:b/>
                <w:bCs/>
                <w:sz w:val="18"/>
                <w:szCs w:val="18"/>
              </w:rPr>
              <w:t>1</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b/>
                <w:bCs/>
                <w:sz w:val="18"/>
                <w:szCs w:val="18"/>
              </w:rPr>
            </w:pPr>
            <w:r w:rsidRPr="009549EF">
              <w:rPr>
                <w:rFonts w:ascii="Arial" w:hAnsi="Arial" w:cs="Arial"/>
                <w:b/>
                <w:bCs/>
                <w:sz w:val="18"/>
                <w:szCs w:val="18"/>
              </w:rPr>
              <w:t>232</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b/>
                <w:bCs/>
                <w:sz w:val="18"/>
                <w:szCs w:val="18"/>
              </w:rPr>
            </w:pPr>
            <w:r w:rsidRPr="009549EF">
              <w:rPr>
                <w:rFonts w:ascii="Arial" w:hAnsi="Arial" w:cs="Arial"/>
                <w:b/>
                <w:bCs/>
                <w:sz w:val="18"/>
                <w:szCs w:val="18"/>
              </w:rPr>
              <w:t>248</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b/>
                <w:bCs/>
                <w:sz w:val="18"/>
                <w:szCs w:val="18"/>
              </w:rPr>
            </w:pPr>
            <w:r w:rsidRPr="009549EF">
              <w:rPr>
                <w:rFonts w:ascii="Arial" w:hAnsi="Arial" w:cs="Arial"/>
                <w:b/>
                <w:bCs/>
                <w:sz w:val="18"/>
                <w:szCs w:val="18"/>
              </w:rPr>
              <w:t>140</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b/>
                <w:bCs/>
                <w:sz w:val="18"/>
                <w:szCs w:val="18"/>
              </w:rPr>
            </w:pPr>
            <w:r w:rsidRPr="009549EF">
              <w:rPr>
                <w:rFonts w:ascii="Arial" w:hAnsi="Arial" w:cs="Arial"/>
                <w:b/>
                <w:bCs/>
                <w:sz w:val="18"/>
                <w:szCs w:val="18"/>
              </w:rPr>
              <w:t>12</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b/>
                <w:bCs/>
                <w:sz w:val="18"/>
                <w:szCs w:val="18"/>
              </w:rPr>
            </w:pPr>
            <w:r w:rsidRPr="009549EF">
              <w:rPr>
                <w:rFonts w:ascii="Arial" w:hAnsi="Arial" w:cs="Arial"/>
                <w:b/>
                <w:bCs/>
                <w:sz w:val="18"/>
                <w:szCs w:val="18"/>
              </w:rPr>
              <w:t>9</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b/>
                <w:bCs/>
                <w:sz w:val="18"/>
                <w:szCs w:val="18"/>
              </w:rPr>
            </w:pPr>
            <w:r w:rsidRPr="009549EF">
              <w:rPr>
                <w:rFonts w:ascii="Arial" w:hAnsi="Arial" w:cs="Arial"/>
                <w:b/>
                <w:bCs/>
                <w:sz w:val="18"/>
                <w:szCs w:val="18"/>
              </w:rPr>
              <w:t>23</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b/>
                <w:bCs/>
                <w:sz w:val="18"/>
                <w:szCs w:val="18"/>
              </w:rPr>
            </w:pPr>
            <w:r w:rsidRPr="009549EF">
              <w:rPr>
                <w:rFonts w:ascii="Arial" w:hAnsi="Arial" w:cs="Arial"/>
                <w:b/>
                <w:bCs/>
                <w:sz w:val="18"/>
                <w:szCs w:val="18"/>
              </w:rPr>
              <w:t>1906</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b/>
                <w:bCs/>
                <w:sz w:val="18"/>
                <w:szCs w:val="18"/>
              </w:rPr>
            </w:pPr>
            <w:r w:rsidRPr="009549EF">
              <w:rPr>
                <w:rFonts w:ascii="Arial" w:hAnsi="Arial" w:cs="Arial"/>
                <w:b/>
                <w:bCs/>
                <w:sz w:val="18"/>
                <w:szCs w:val="18"/>
              </w:rPr>
              <w:t>2246</w:t>
            </w:r>
          </w:p>
        </w:tc>
        <w:tc>
          <w:tcPr>
            <w:tcW w:w="0" w:type="auto"/>
            <w:shd w:val="clear" w:color="auto" w:fill="FFFFFF" w:themeFill="background1"/>
            <w:noWrap/>
            <w:hideMark/>
          </w:tcPr>
          <w:p w:rsidR="00485D7B" w:rsidRPr="009549EF" w:rsidRDefault="00485D7B" w:rsidP="009549EF">
            <w:pPr>
              <w:spacing w:after="0" w:line="240" w:lineRule="auto"/>
              <w:jc w:val="right"/>
              <w:rPr>
                <w:rFonts w:ascii="Arial" w:hAnsi="Arial" w:cs="Arial"/>
                <w:b/>
                <w:bCs/>
                <w:sz w:val="18"/>
                <w:szCs w:val="18"/>
              </w:rPr>
            </w:pPr>
            <w:r w:rsidRPr="009549EF">
              <w:rPr>
                <w:rFonts w:ascii="Arial" w:hAnsi="Arial" w:cs="Arial"/>
                <w:b/>
                <w:bCs/>
                <w:sz w:val="18"/>
                <w:szCs w:val="18"/>
              </w:rPr>
              <w:t>1877</w:t>
            </w:r>
          </w:p>
        </w:tc>
      </w:tr>
    </w:tbl>
    <w:p w:rsidR="00485D7B" w:rsidRPr="00C2737A" w:rsidRDefault="00485D7B" w:rsidP="00485D7B">
      <w:pPr>
        <w:pStyle w:val="BodyText"/>
      </w:pPr>
    </w:p>
    <w:p w:rsidR="007063DF" w:rsidRDefault="007063DF" w:rsidP="00485D7B">
      <w:pPr>
        <w:pStyle w:val="BodyText"/>
        <w:sectPr w:rsidR="007063DF" w:rsidSect="007063DF">
          <w:pgSz w:w="23811" w:h="16838" w:orient="landscape" w:code="8"/>
          <w:pgMar w:top="720" w:right="720" w:bottom="720" w:left="720" w:header="720" w:footer="720" w:gutter="0"/>
          <w:cols w:space="720"/>
          <w:noEndnote/>
          <w:docGrid w:linePitch="299"/>
        </w:sectPr>
      </w:pPr>
    </w:p>
    <w:p w:rsidR="00485D7B" w:rsidRDefault="00485D7B" w:rsidP="00485D7B">
      <w:pPr>
        <w:pStyle w:val="BodyText"/>
      </w:pPr>
    </w:p>
    <w:p w:rsidR="007063DF" w:rsidRDefault="007063DF" w:rsidP="007063DF">
      <w:pPr>
        <w:pStyle w:val="Heading4"/>
      </w:pPr>
      <w:r>
        <w:t xml:space="preserve">Issues raised from enquiries </w:t>
      </w:r>
      <w:r w:rsidRPr="001B7372">
        <w:rPr>
          <w:lang w:eastAsia="en-US"/>
        </w:rPr>
        <w:t>201</w:t>
      </w:r>
      <w:r>
        <w:rPr>
          <w:lang w:eastAsia="en-US"/>
        </w:rPr>
        <w:t>6–</w:t>
      </w:r>
      <w:r w:rsidRPr="001B7372">
        <w:rPr>
          <w:lang w:eastAsia="en-US"/>
        </w:rPr>
        <w:t>17, 2017</w:t>
      </w:r>
      <w:r>
        <w:rPr>
          <w:lang w:eastAsia="en-US"/>
        </w:rPr>
        <w:t>–18 and 2018–2019</w:t>
      </w:r>
    </w:p>
    <w:tbl>
      <w:tblPr>
        <w:tblW w:w="970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5240"/>
        <w:gridCol w:w="1058"/>
        <w:gridCol w:w="993"/>
        <w:gridCol w:w="992"/>
        <w:gridCol w:w="1417"/>
      </w:tblGrid>
      <w:tr w:rsidR="009549EF" w:rsidRPr="009549EF" w:rsidTr="009549EF">
        <w:trPr>
          <w:trHeight w:val="412"/>
        </w:trPr>
        <w:tc>
          <w:tcPr>
            <w:tcW w:w="5240" w:type="dxa"/>
            <w:tcBorders>
              <w:top w:val="single" w:sz="4" w:space="0" w:color="000000"/>
              <w:left w:val="single" w:sz="4" w:space="0" w:color="000000"/>
              <w:bottom w:val="single" w:sz="4" w:space="0" w:color="000000"/>
              <w:right w:val="nil"/>
            </w:tcBorders>
            <w:shd w:val="clear" w:color="auto" w:fill="000000"/>
            <w:hideMark/>
          </w:tcPr>
          <w:p w:rsidR="007063DF" w:rsidRPr="009549EF" w:rsidRDefault="007063DF" w:rsidP="007063DF">
            <w:pPr>
              <w:pStyle w:val="BodyText"/>
              <w:rPr>
                <w:b/>
                <w:bCs/>
                <w:color w:val="FFFFFF"/>
                <w:sz w:val="18"/>
                <w:szCs w:val="18"/>
              </w:rPr>
            </w:pPr>
            <w:r w:rsidRPr="009549EF">
              <w:rPr>
                <w:b/>
                <w:bCs/>
                <w:color w:val="FFFFFF"/>
                <w:sz w:val="18"/>
                <w:szCs w:val="18"/>
              </w:rPr>
              <w:t>Issue</w:t>
            </w:r>
          </w:p>
        </w:tc>
        <w:tc>
          <w:tcPr>
            <w:tcW w:w="1058" w:type="dxa"/>
            <w:tcBorders>
              <w:top w:val="single" w:sz="4" w:space="0" w:color="000000"/>
              <w:left w:val="nil"/>
              <w:bottom w:val="single" w:sz="4" w:space="0" w:color="000000"/>
              <w:right w:val="nil"/>
            </w:tcBorders>
            <w:shd w:val="clear" w:color="auto" w:fill="000000"/>
            <w:hideMark/>
          </w:tcPr>
          <w:p w:rsidR="007063DF" w:rsidRPr="009549EF" w:rsidRDefault="007063DF" w:rsidP="007063DF">
            <w:pPr>
              <w:pStyle w:val="BodyText"/>
              <w:rPr>
                <w:b/>
                <w:bCs/>
                <w:color w:val="FFFFFF"/>
                <w:sz w:val="18"/>
                <w:szCs w:val="18"/>
              </w:rPr>
            </w:pPr>
            <w:r w:rsidRPr="009549EF">
              <w:rPr>
                <w:b/>
                <w:bCs/>
                <w:color w:val="FFFFFF"/>
                <w:sz w:val="18"/>
                <w:szCs w:val="18"/>
              </w:rPr>
              <w:t>2016/17</w:t>
            </w:r>
          </w:p>
        </w:tc>
        <w:tc>
          <w:tcPr>
            <w:tcW w:w="993" w:type="dxa"/>
            <w:tcBorders>
              <w:top w:val="single" w:sz="4" w:space="0" w:color="000000"/>
              <w:left w:val="nil"/>
              <w:bottom w:val="single" w:sz="4" w:space="0" w:color="000000"/>
              <w:right w:val="nil"/>
            </w:tcBorders>
            <w:shd w:val="clear" w:color="auto" w:fill="000000"/>
            <w:hideMark/>
          </w:tcPr>
          <w:p w:rsidR="007063DF" w:rsidRPr="009549EF" w:rsidRDefault="007063DF" w:rsidP="007063DF">
            <w:pPr>
              <w:pStyle w:val="BodyText"/>
              <w:rPr>
                <w:b/>
                <w:bCs/>
                <w:color w:val="FFFFFF"/>
                <w:sz w:val="18"/>
                <w:szCs w:val="18"/>
              </w:rPr>
            </w:pPr>
            <w:r w:rsidRPr="009549EF">
              <w:rPr>
                <w:b/>
                <w:bCs/>
                <w:color w:val="FFFFFF"/>
                <w:sz w:val="18"/>
                <w:szCs w:val="18"/>
              </w:rPr>
              <w:t>2017/18</w:t>
            </w:r>
          </w:p>
        </w:tc>
        <w:tc>
          <w:tcPr>
            <w:tcW w:w="992" w:type="dxa"/>
            <w:tcBorders>
              <w:top w:val="single" w:sz="4" w:space="0" w:color="000000"/>
              <w:left w:val="nil"/>
              <w:bottom w:val="single" w:sz="4" w:space="0" w:color="000000"/>
              <w:right w:val="nil"/>
            </w:tcBorders>
            <w:shd w:val="clear" w:color="auto" w:fill="000000"/>
            <w:hideMark/>
          </w:tcPr>
          <w:p w:rsidR="007063DF" w:rsidRPr="009549EF" w:rsidRDefault="007063DF" w:rsidP="007063DF">
            <w:pPr>
              <w:pStyle w:val="BodyText"/>
              <w:rPr>
                <w:b/>
                <w:bCs/>
                <w:color w:val="FFFFFF"/>
                <w:sz w:val="18"/>
                <w:szCs w:val="18"/>
              </w:rPr>
            </w:pPr>
            <w:r w:rsidRPr="009549EF">
              <w:rPr>
                <w:b/>
                <w:bCs/>
                <w:color w:val="FFFFFF"/>
                <w:sz w:val="18"/>
                <w:szCs w:val="18"/>
              </w:rPr>
              <w:t>2018/19</w:t>
            </w:r>
          </w:p>
        </w:tc>
        <w:tc>
          <w:tcPr>
            <w:tcW w:w="1417" w:type="dxa"/>
            <w:tcBorders>
              <w:top w:val="single" w:sz="4" w:space="0" w:color="000000"/>
              <w:left w:val="nil"/>
              <w:bottom w:val="single" w:sz="4" w:space="0" w:color="000000"/>
              <w:right w:val="single" w:sz="4" w:space="0" w:color="000000"/>
            </w:tcBorders>
            <w:shd w:val="clear" w:color="auto" w:fill="000000"/>
            <w:hideMark/>
          </w:tcPr>
          <w:p w:rsidR="007063DF" w:rsidRPr="009549EF" w:rsidRDefault="007063DF" w:rsidP="007063DF">
            <w:pPr>
              <w:pStyle w:val="BodyText"/>
              <w:rPr>
                <w:b/>
                <w:bCs/>
                <w:color w:val="FFFFFF"/>
                <w:sz w:val="18"/>
                <w:szCs w:val="18"/>
              </w:rPr>
            </w:pPr>
            <w:r w:rsidRPr="009549EF">
              <w:rPr>
                <w:b/>
                <w:bCs/>
                <w:color w:val="FFFFFF"/>
                <w:sz w:val="18"/>
                <w:szCs w:val="18"/>
              </w:rPr>
              <w:t>3 Year Total</w:t>
            </w:r>
          </w:p>
        </w:tc>
      </w:tr>
      <w:tr w:rsidR="009549EF" w:rsidRPr="009549EF" w:rsidTr="00C30441">
        <w:trPr>
          <w:trHeight w:val="412"/>
        </w:trPr>
        <w:tc>
          <w:tcPr>
            <w:tcW w:w="5240" w:type="dxa"/>
            <w:shd w:val="clear" w:color="auto" w:fill="FFFFFF" w:themeFill="background1"/>
            <w:hideMark/>
          </w:tcPr>
          <w:p w:rsidR="007063DF" w:rsidRPr="009549EF" w:rsidRDefault="007063DF" w:rsidP="007063DF">
            <w:pPr>
              <w:pStyle w:val="BodyText"/>
              <w:rPr>
                <w:b/>
                <w:bCs/>
                <w:color w:val="000000"/>
                <w:sz w:val="18"/>
                <w:szCs w:val="18"/>
              </w:rPr>
            </w:pPr>
            <w:r w:rsidRPr="009549EF">
              <w:rPr>
                <w:b/>
                <w:bCs/>
                <w:color w:val="000000"/>
                <w:sz w:val="18"/>
                <w:szCs w:val="18"/>
              </w:rPr>
              <w:t>Age</w:t>
            </w:r>
          </w:p>
        </w:tc>
        <w:tc>
          <w:tcPr>
            <w:tcW w:w="1058" w:type="dxa"/>
            <w:shd w:val="clear" w:color="auto" w:fill="FFFFFF" w:themeFill="background1"/>
            <w:hideMark/>
          </w:tcPr>
          <w:p w:rsidR="007063DF" w:rsidRPr="009549EF" w:rsidRDefault="007063DF" w:rsidP="007063DF">
            <w:pPr>
              <w:pStyle w:val="BodyText"/>
              <w:rPr>
                <w:sz w:val="18"/>
                <w:szCs w:val="18"/>
              </w:rPr>
            </w:pPr>
            <w:r w:rsidRPr="009549EF">
              <w:rPr>
                <w:sz w:val="18"/>
                <w:szCs w:val="18"/>
              </w:rPr>
              <w:t>411</w:t>
            </w:r>
          </w:p>
        </w:tc>
        <w:tc>
          <w:tcPr>
            <w:tcW w:w="993" w:type="dxa"/>
            <w:shd w:val="clear" w:color="auto" w:fill="FFFFFF" w:themeFill="background1"/>
            <w:hideMark/>
          </w:tcPr>
          <w:p w:rsidR="007063DF" w:rsidRPr="009549EF" w:rsidRDefault="007063DF" w:rsidP="007063DF">
            <w:pPr>
              <w:pStyle w:val="BodyText"/>
              <w:rPr>
                <w:sz w:val="18"/>
                <w:szCs w:val="18"/>
              </w:rPr>
            </w:pPr>
            <w:r w:rsidRPr="009549EF">
              <w:rPr>
                <w:sz w:val="18"/>
                <w:szCs w:val="18"/>
              </w:rPr>
              <w:t>318</w:t>
            </w:r>
          </w:p>
        </w:tc>
        <w:tc>
          <w:tcPr>
            <w:tcW w:w="992" w:type="dxa"/>
            <w:shd w:val="clear" w:color="auto" w:fill="FFFFFF" w:themeFill="background1"/>
            <w:hideMark/>
          </w:tcPr>
          <w:p w:rsidR="007063DF" w:rsidRPr="009549EF" w:rsidRDefault="007063DF" w:rsidP="007063DF">
            <w:pPr>
              <w:pStyle w:val="BodyText"/>
              <w:rPr>
                <w:sz w:val="18"/>
                <w:szCs w:val="18"/>
              </w:rPr>
            </w:pPr>
            <w:r w:rsidRPr="009549EF">
              <w:rPr>
                <w:sz w:val="18"/>
                <w:szCs w:val="18"/>
              </w:rPr>
              <w:t>331</w:t>
            </w:r>
          </w:p>
        </w:tc>
        <w:tc>
          <w:tcPr>
            <w:tcW w:w="1417" w:type="dxa"/>
            <w:shd w:val="clear" w:color="auto" w:fill="FFFFFF" w:themeFill="background1"/>
            <w:hideMark/>
          </w:tcPr>
          <w:p w:rsidR="007063DF" w:rsidRPr="009549EF" w:rsidRDefault="007063DF" w:rsidP="007063DF">
            <w:pPr>
              <w:pStyle w:val="BodyText"/>
              <w:rPr>
                <w:sz w:val="18"/>
                <w:szCs w:val="18"/>
              </w:rPr>
            </w:pPr>
            <w:r w:rsidRPr="009549EF">
              <w:rPr>
                <w:sz w:val="18"/>
                <w:szCs w:val="18"/>
              </w:rPr>
              <w:t>1060</w:t>
            </w:r>
          </w:p>
        </w:tc>
      </w:tr>
      <w:tr w:rsidR="009549EF" w:rsidRPr="009549EF" w:rsidTr="00C30441">
        <w:trPr>
          <w:trHeight w:val="412"/>
        </w:trPr>
        <w:tc>
          <w:tcPr>
            <w:tcW w:w="5240" w:type="dxa"/>
            <w:shd w:val="clear" w:color="auto" w:fill="FFFFFF" w:themeFill="background1"/>
            <w:hideMark/>
          </w:tcPr>
          <w:p w:rsidR="007063DF" w:rsidRPr="009549EF" w:rsidRDefault="007063DF" w:rsidP="007063DF">
            <w:pPr>
              <w:pStyle w:val="BodyText"/>
              <w:rPr>
                <w:b/>
                <w:bCs/>
                <w:color w:val="000000"/>
                <w:sz w:val="18"/>
                <w:szCs w:val="18"/>
              </w:rPr>
            </w:pPr>
            <w:r w:rsidRPr="009549EF">
              <w:rPr>
                <w:b/>
                <w:bCs/>
                <w:color w:val="000000"/>
                <w:sz w:val="18"/>
                <w:szCs w:val="18"/>
              </w:rPr>
              <w:t>Authorising and assisting</w:t>
            </w:r>
          </w:p>
        </w:tc>
        <w:tc>
          <w:tcPr>
            <w:tcW w:w="1058" w:type="dxa"/>
            <w:shd w:val="clear" w:color="auto" w:fill="FFFFFF" w:themeFill="background1"/>
            <w:hideMark/>
          </w:tcPr>
          <w:p w:rsidR="007063DF" w:rsidRPr="009549EF" w:rsidRDefault="007063DF" w:rsidP="007063DF">
            <w:pPr>
              <w:pStyle w:val="BodyText"/>
              <w:rPr>
                <w:sz w:val="18"/>
                <w:szCs w:val="18"/>
              </w:rPr>
            </w:pPr>
            <w:r w:rsidRPr="009549EF">
              <w:rPr>
                <w:sz w:val="18"/>
                <w:szCs w:val="18"/>
              </w:rPr>
              <w:t>47</w:t>
            </w:r>
          </w:p>
        </w:tc>
        <w:tc>
          <w:tcPr>
            <w:tcW w:w="993" w:type="dxa"/>
            <w:shd w:val="clear" w:color="auto" w:fill="FFFFFF" w:themeFill="background1"/>
            <w:hideMark/>
          </w:tcPr>
          <w:p w:rsidR="007063DF" w:rsidRPr="009549EF" w:rsidRDefault="007063DF" w:rsidP="007063DF">
            <w:pPr>
              <w:pStyle w:val="BodyText"/>
              <w:rPr>
                <w:sz w:val="18"/>
                <w:szCs w:val="18"/>
              </w:rPr>
            </w:pPr>
            <w:r w:rsidRPr="009549EF">
              <w:rPr>
                <w:sz w:val="18"/>
                <w:szCs w:val="18"/>
              </w:rPr>
              <w:t>8</w:t>
            </w:r>
          </w:p>
        </w:tc>
        <w:tc>
          <w:tcPr>
            <w:tcW w:w="992" w:type="dxa"/>
            <w:shd w:val="clear" w:color="auto" w:fill="FFFFFF" w:themeFill="background1"/>
            <w:hideMark/>
          </w:tcPr>
          <w:p w:rsidR="007063DF" w:rsidRPr="009549EF" w:rsidRDefault="007063DF" w:rsidP="007063DF">
            <w:pPr>
              <w:pStyle w:val="BodyText"/>
              <w:rPr>
                <w:sz w:val="18"/>
                <w:szCs w:val="18"/>
              </w:rPr>
            </w:pPr>
            <w:r w:rsidRPr="009549EF">
              <w:rPr>
                <w:sz w:val="18"/>
                <w:szCs w:val="18"/>
              </w:rPr>
              <w:t>6</w:t>
            </w:r>
          </w:p>
        </w:tc>
        <w:tc>
          <w:tcPr>
            <w:tcW w:w="1417" w:type="dxa"/>
            <w:shd w:val="clear" w:color="auto" w:fill="FFFFFF" w:themeFill="background1"/>
            <w:hideMark/>
          </w:tcPr>
          <w:p w:rsidR="007063DF" w:rsidRPr="009549EF" w:rsidRDefault="007063DF" w:rsidP="007063DF">
            <w:pPr>
              <w:pStyle w:val="BodyText"/>
              <w:rPr>
                <w:sz w:val="18"/>
                <w:szCs w:val="18"/>
              </w:rPr>
            </w:pPr>
            <w:r w:rsidRPr="009549EF">
              <w:rPr>
                <w:sz w:val="18"/>
                <w:szCs w:val="18"/>
              </w:rPr>
              <w:t>61</w:t>
            </w:r>
          </w:p>
        </w:tc>
      </w:tr>
      <w:tr w:rsidR="009549EF" w:rsidRPr="009549EF" w:rsidTr="00C30441">
        <w:trPr>
          <w:trHeight w:val="412"/>
        </w:trPr>
        <w:tc>
          <w:tcPr>
            <w:tcW w:w="5240" w:type="dxa"/>
            <w:shd w:val="clear" w:color="auto" w:fill="FFFFFF" w:themeFill="background1"/>
            <w:hideMark/>
          </w:tcPr>
          <w:p w:rsidR="007063DF" w:rsidRPr="009549EF" w:rsidRDefault="007063DF" w:rsidP="007063DF">
            <w:pPr>
              <w:pStyle w:val="BodyText"/>
              <w:rPr>
                <w:b/>
                <w:bCs/>
                <w:color w:val="000000"/>
                <w:sz w:val="18"/>
                <w:szCs w:val="18"/>
              </w:rPr>
            </w:pPr>
            <w:r w:rsidRPr="009549EF">
              <w:rPr>
                <w:b/>
                <w:bCs/>
                <w:color w:val="000000"/>
                <w:sz w:val="18"/>
                <w:szCs w:val="18"/>
              </w:rPr>
              <w:t>Breastfeeding</w:t>
            </w:r>
          </w:p>
        </w:tc>
        <w:tc>
          <w:tcPr>
            <w:tcW w:w="1058" w:type="dxa"/>
            <w:shd w:val="clear" w:color="auto" w:fill="FFFFFF" w:themeFill="background1"/>
            <w:hideMark/>
          </w:tcPr>
          <w:p w:rsidR="007063DF" w:rsidRPr="009549EF" w:rsidRDefault="007063DF" w:rsidP="007063DF">
            <w:pPr>
              <w:pStyle w:val="BodyText"/>
              <w:rPr>
                <w:sz w:val="18"/>
                <w:szCs w:val="18"/>
              </w:rPr>
            </w:pPr>
            <w:r w:rsidRPr="009549EF">
              <w:rPr>
                <w:sz w:val="18"/>
                <w:szCs w:val="18"/>
              </w:rPr>
              <w:t>31</w:t>
            </w:r>
          </w:p>
        </w:tc>
        <w:tc>
          <w:tcPr>
            <w:tcW w:w="993" w:type="dxa"/>
            <w:shd w:val="clear" w:color="auto" w:fill="FFFFFF" w:themeFill="background1"/>
            <w:hideMark/>
          </w:tcPr>
          <w:p w:rsidR="007063DF" w:rsidRPr="009549EF" w:rsidRDefault="007063DF" w:rsidP="007063DF">
            <w:pPr>
              <w:pStyle w:val="BodyText"/>
              <w:rPr>
                <w:sz w:val="18"/>
                <w:szCs w:val="18"/>
              </w:rPr>
            </w:pPr>
            <w:r w:rsidRPr="009549EF">
              <w:rPr>
                <w:sz w:val="18"/>
                <w:szCs w:val="18"/>
              </w:rPr>
              <w:t>36</w:t>
            </w:r>
          </w:p>
        </w:tc>
        <w:tc>
          <w:tcPr>
            <w:tcW w:w="992" w:type="dxa"/>
            <w:shd w:val="clear" w:color="auto" w:fill="FFFFFF" w:themeFill="background1"/>
            <w:hideMark/>
          </w:tcPr>
          <w:p w:rsidR="007063DF" w:rsidRPr="009549EF" w:rsidRDefault="007063DF" w:rsidP="007063DF">
            <w:pPr>
              <w:pStyle w:val="BodyText"/>
              <w:rPr>
                <w:sz w:val="18"/>
                <w:szCs w:val="18"/>
              </w:rPr>
            </w:pPr>
            <w:r w:rsidRPr="009549EF">
              <w:rPr>
                <w:sz w:val="18"/>
                <w:szCs w:val="18"/>
              </w:rPr>
              <w:t>30</w:t>
            </w:r>
          </w:p>
        </w:tc>
        <w:tc>
          <w:tcPr>
            <w:tcW w:w="1417" w:type="dxa"/>
            <w:shd w:val="clear" w:color="auto" w:fill="FFFFFF" w:themeFill="background1"/>
            <w:hideMark/>
          </w:tcPr>
          <w:p w:rsidR="007063DF" w:rsidRPr="009549EF" w:rsidRDefault="007063DF" w:rsidP="007063DF">
            <w:pPr>
              <w:pStyle w:val="BodyText"/>
              <w:rPr>
                <w:sz w:val="18"/>
                <w:szCs w:val="18"/>
              </w:rPr>
            </w:pPr>
            <w:r w:rsidRPr="009549EF">
              <w:rPr>
                <w:sz w:val="18"/>
                <w:szCs w:val="18"/>
              </w:rPr>
              <w:t>97</w:t>
            </w:r>
          </w:p>
        </w:tc>
      </w:tr>
      <w:tr w:rsidR="009549EF" w:rsidRPr="009549EF" w:rsidTr="00C30441">
        <w:trPr>
          <w:trHeight w:val="412"/>
        </w:trPr>
        <w:tc>
          <w:tcPr>
            <w:tcW w:w="5240" w:type="dxa"/>
            <w:shd w:val="clear" w:color="auto" w:fill="FFFFFF" w:themeFill="background1"/>
            <w:hideMark/>
          </w:tcPr>
          <w:p w:rsidR="007063DF" w:rsidRPr="009549EF" w:rsidRDefault="007063DF" w:rsidP="007063DF">
            <w:pPr>
              <w:pStyle w:val="BodyText"/>
              <w:rPr>
                <w:b/>
                <w:bCs/>
                <w:color w:val="000000"/>
                <w:sz w:val="18"/>
                <w:szCs w:val="18"/>
              </w:rPr>
            </w:pPr>
            <w:r w:rsidRPr="009549EF">
              <w:rPr>
                <w:b/>
                <w:bCs/>
                <w:color w:val="000000"/>
                <w:sz w:val="18"/>
                <w:szCs w:val="18"/>
              </w:rPr>
              <w:t>Carer status</w:t>
            </w:r>
          </w:p>
        </w:tc>
        <w:tc>
          <w:tcPr>
            <w:tcW w:w="1058" w:type="dxa"/>
            <w:shd w:val="clear" w:color="auto" w:fill="FFFFFF" w:themeFill="background1"/>
            <w:hideMark/>
          </w:tcPr>
          <w:p w:rsidR="007063DF" w:rsidRPr="009549EF" w:rsidRDefault="007063DF" w:rsidP="007063DF">
            <w:pPr>
              <w:pStyle w:val="BodyText"/>
              <w:rPr>
                <w:sz w:val="18"/>
                <w:szCs w:val="18"/>
              </w:rPr>
            </w:pPr>
            <w:r w:rsidRPr="009549EF">
              <w:rPr>
                <w:sz w:val="18"/>
                <w:szCs w:val="18"/>
              </w:rPr>
              <w:t>321</w:t>
            </w:r>
          </w:p>
        </w:tc>
        <w:tc>
          <w:tcPr>
            <w:tcW w:w="993" w:type="dxa"/>
            <w:shd w:val="clear" w:color="auto" w:fill="FFFFFF" w:themeFill="background1"/>
            <w:hideMark/>
          </w:tcPr>
          <w:p w:rsidR="007063DF" w:rsidRPr="009549EF" w:rsidRDefault="007063DF" w:rsidP="007063DF">
            <w:pPr>
              <w:pStyle w:val="BodyText"/>
              <w:rPr>
                <w:sz w:val="18"/>
                <w:szCs w:val="18"/>
              </w:rPr>
            </w:pPr>
            <w:r w:rsidRPr="009549EF">
              <w:rPr>
                <w:sz w:val="18"/>
                <w:szCs w:val="18"/>
              </w:rPr>
              <w:t>234</w:t>
            </w:r>
          </w:p>
        </w:tc>
        <w:tc>
          <w:tcPr>
            <w:tcW w:w="992" w:type="dxa"/>
            <w:shd w:val="clear" w:color="auto" w:fill="FFFFFF" w:themeFill="background1"/>
            <w:hideMark/>
          </w:tcPr>
          <w:p w:rsidR="007063DF" w:rsidRPr="009549EF" w:rsidRDefault="007063DF" w:rsidP="007063DF">
            <w:pPr>
              <w:pStyle w:val="BodyText"/>
              <w:rPr>
                <w:sz w:val="18"/>
                <w:szCs w:val="18"/>
              </w:rPr>
            </w:pPr>
            <w:r w:rsidRPr="009549EF">
              <w:rPr>
                <w:sz w:val="18"/>
                <w:szCs w:val="18"/>
              </w:rPr>
              <w:t>207</w:t>
            </w:r>
          </w:p>
        </w:tc>
        <w:tc>
          <w:tcPr>
            <w:tcW w:w="1417" w:type="dxa"/>
            <w:shd w:val="clear" w:color="auto" w:fill="FFFFFF" w:themeFill="background1"/>
            <w:hideMark/>
          </w:tcPr>
          <w:p w:rsidR="007063DF" w:rsidRPr="009549EF" w:rsidRDefault="007063DF" w:rsidP="007063DF">
            <w:pPr>
              <w:pStyle w:val="BodyText"/>
              <w:rPr>
                <w:sz w:val="18"/>
                <w:szCs w:val="18"/>
              </w:rPr>
            </w:pPr>
            <w:r w:rsidRPr="009549EF">
              <w:rPr>
                <w:sz w:val="18"/>
                <w:szCs w:val="18"/>
              </w:rPr>
              <w:t>762</w:t>
            </w:r>
          </w:p>
        </w:tc>
      </w:tr>
      <w:tr w:rsidR="009549EF" w:rsidRPr="009549EF" w:rsidTr="00C30441">
        <w:trPr>
          <w:trHeight w:val="412"/>
        </w:trPr>
        <w:tc>
          <w:tcPr>
            <w:tcW w:w="5240" w:type="dxa"/>
            <w:shd w:val="clear" w:color="auto" w:fill="FFFFFF" w:themeFill="background1"/>
            <w:hideMark/>
          </w:tcPr>
          <w:p w:rsidR="007063DF" w:rsidRPr="009549EF" w:rsidRDefault="007063DF" w:rsidP="007063DF">
            <w:pPr>
              <w:pStyle w:val="BodyText"/>
              <w:rPr>
                <w:b/>
                <w:bCs/>
                <w:color w:val="000000"/>
                <w:sz w:val="18"/>
                <w:szCs w:val="18"/>
              </w:rPr>
            </w:pPr>
            <w:r w:rsidRPr="009549EF">
              <w:rPr>
                <w:b/>
                <w:bCs/>
                <w:color w:val="000000"/>
                <w:sz w:val="18"/>
                <w:szCs w:val="18"/>
              </w:rPr>
              <w:t>Charter of Human Rights</w:t>
            </w:r>
          </w:p>
        </w:tc>
        <w:tc>
          <w:tcPr>
            <w:tcW w:w="1058" w:type="dxa"/>
            <w:shd w:val="clear" w:color="auto" w:fill="FFFFFF" w:themeFill="background1"/>
            <w:hideMark/>
          </w:tcPr>
          <w:p w:rsidR="007063DF" w:rsidRPr="009549EF" w:rsidRDefault="007063DF" w:rsidP="007063DF">
            <w:pPr>
              <w:pStyle w:val="BodyText"/>
              <w:rPr>
                <w:sz w:val="18"/>
                <w:szCs w:val="18"/>
              </w:rPr>
            </w:pPr>
            <w:r w:rsidRPr="009549EF">
              <w:rPr>
                <w:sz w:val="18"/>
                <w:szCs w:val="18"/>
              </w:rPr>
              <w:t>242</w:t>
            </w:r>
          </w:p>
        </w:tc>
        <w:tc>
          <w:tcPr>
            <w:tcW w:w="993" w:type="dxa"/>
            <w:shd w:val="clear" w:color="auto" w:fill="FFFFFF" w:themeFill="background1"/>
            <w:hideMark/>
          </w:tcPr>
          <w:p w:rsidR="007063DF" w:rsidRPr="009549EF" w:rsidRDefault="007063DF" w:rsidP="007063DF">
            <w:pPr>
              <w:pStyle w:val="BodyText"/>
              <w:rPr>
                <w:sz w:val="18"/>
                <w:szCs w:val="18"/>
              </w:rPr>
            </w:pPr>
            <w:r w:rsidRPr="009549EF">
              <w:rPr>
                <w:sz w:val="18"/>
                <w:szCs w:val="18"/>
              </w:rPr>
              <w:t>146</w:t>
            </w:r>
          </w:p>
        </w:tc>
        <w:tc>
          <w:tcPr>
            <w:tcW w:w="992" w:type="dxa"/>
            <w:shd w:val="clear" w:color="auto" w:fill="FFFFFF" w:themeFill="background1"/>
            <w:hideMark/>
          </w:tcPr>
          <w:p w:rsidR="007063DF" w:rsidRPr="009549EF" w:rsidRDefault="007063DF" w:rsidP="007063DF">
            <w:pPr>
              <w:pStyle w:val="BodyText"/>
              <w:rPr>
                <w:sz w:val="18"/>
                <w:szCs w:val="18"/>
              </w:rPr>
            </w:pPr>
            <w:r w:rsidRPr="009549EF">
              <w:rPr>
                <w:sz w:val="18"/>
                <w:szCs w:val="18"/>
              </w:rPr>
              <w:t>129</w:t>
            </w:r>
          </w:p>
        </w:tc>
        <w:tc>
          <w:tcPr>
            <w:tcW w:w="1417" w:type="dxa"/>
            <w:shd w:val="clear" w:color="auto" w:fill="FFFFFF" w:themeFill="background1"/>
            <w:hideMark/>
          </w:tcPr>
          <w:p w:rsidR="007063DF" w:rsidRPr="009549EF" w:rsidRDefault="007063DF" w:rsidP="007063DF">
            <w:pPr>
              <w:pStyle w:val="BodyText"/>
              <w:rPr>
                <w:sz w:val="18"/>
                <w:szCs w:val="18"/>
              </w:rPr>
            </w:pPr>
            <w:r w:rsidRPr="009549EF">
              <w:rPr>
                <w:sz w:val="18"/>
                <w:szCs w:val="18"/>
              </w:rPr>
              <w:t>517</w:t>
            </w:r>
          </w:p>
        </w:tc>
      </w:tr>
      <w:tr w:rsidR="009549EF" w:rsidRPr="009549EF" w:rsidTr="00C30441">
        <w:trPr>
          <w:trHeight w:val="412"/>
        </w:trPr>
        <w:tc>
          <w:tcPr>
            <w:tcW w:w="5240" w:type="dxa"/>
            <w:shd w:val="clear" w:color="auto" w:fill="FFFFFF" w:themeFill="background1"/>
            <w:hideMark/>
          </w:tcPr>
          <w:p w:rsidR="007063DF" w:rsidRPr="009549EF" w:rsidRDefault="007063DF" w:rsidP="007063DF">
            <w:pPr>
              <w:pStyle w:val="BodyText"/>
              <w:rPr>
                <w:b/>
                <w:bCs/>
                <w:color w:val="000000"/>
                <w:sz w:val="18"/>
                <w:szCs w:val="18"/>
              </w:rPr>
            </w:pPr>
            <w:r w:rsidRPr="009549EF">
              <w:rPr>
                <w:b/>
                <w:bCs/>
                <w:color w:val="000000"/>
                <w:sz w:val="18"/>
                <w:szCs w:val="18"/>
              </w:rPr>
              <w:t>Child protection</w:t>
            </w:r>
          </w:p>
        </w:tc>
        <w:tc>
          <w:tcPr>
            <w:tcW w:w="1058" w:type="dxa"/>
            <w:shd w:val="clear" w:color="auto" w:fill="FFFFFF" w:themeFill="background1"/>
            <w:hideMark/>
          </w:tcPr>
          <w:p w:rsidR="007063DF" w:rsidRPr="009549EF" w:rsidRDefault="007063DF" w:rsidP="007063DF">
            <w:pPr>
              <w:pStyle w:val="BodyText"/>
              <w:rPr>
                <w:sz w:val="18"/>
                <w:szCs w:val="18"/>
              </w:rPr>
            </w:pPr>
            <w:r w:rsidRPr="009549EF">
              <w:rPr>
                <w:sz w:val="18"/>
                <w:szCs w:val="18"/>
              </w:rPr>
              <w:t>34</w:t>
            </w:r>
          </w:p>
        </w:tc>
        <w:tc>
          <w:tcPr>
            <w:tcW w:w="993" w:type="dxa"/>
            <w:shd w:val="clear" w:color="auto" w:fill="FFFFFF" w:themeFill="background1"/>
            <w:hideMark/>
          </w:tcPr>
          <w:p w:rsidR="007063DF" w:rsidRPr="009549EF" w:rsidRDefault="007063DF" w:rsidP="007063DF">
            <w:pPr>
              <w:pStyle w:val="BodyText"/>
              <w:rPr>
                <w:sz w:val="18"/>
                <w:szCs w:val="18"/>
              </w:rPr>
            </w:pPr>
            <w:r w:rsidRPr="009549EF">
              <w:rPr>
                <w:sz w:val="18"/>
                <w:szCs w:val="18"/>
              </w:rPr>
              <w:t>24</w:t>
            </w:r>
          </w:p>
        </w:tc>
        <w:tc>
          <w:tcPr>
            <w:tcW w:w="992" w:type="dxa"/>
            <w:shd w:val="clear" w:color="auto" w:fill="FFFFFF" w:themeFill="background1"/>
            <w:hideMark/>
          </w:tcPr>
          <w:p w:rsidR="007063DF" w:rsidRPr="009549EF" w:rsidRDefault="007063DF" w:rsidP="007063DF">
            <w:pPr>
              <w:pStyle w:val="BodyText"/>
              <w:rPr>
                <w:sz w:val="18"/>
                <w:szCs w:val="18"/>
              </w:rPr>
            </w:pPr>
            <w:r w:rsidRPr="009549EF">
              <w:rPr>
                <w:sz w:val="18"/>
                <w:szCs w:val="18"/>
              </w:rPr>
              <w:t>27</w:t>
            </w:r>
          </w:p>
        </w:tc>
        <w:tc>
          <w:tcPr>
            <w:tcW w:w="1417" w:type="dxa"/>
            <w:shd w:val="clear" w:color="auto" w:fill="FFFFFF" w:themeFill="background1"/>
            <w:hideMark/>
          </w:tcPr>
          <w:p w:rsidR="007063DF" w:rsidRPr="009549EF" w:rsidRDefault="007063DF" w:rsidP="007063DF">
            <w:pPr>
              <w:pStyle w:val="BodyText"/>
              <w:rPr>
                <w:sz w:val="18"/>
                <w:szCs w:val="18"/>
              </w:rPr>
            </w:pPr>
            <w:r w:rsidRPr="009549EF">
              <w:rPr>
                <w:sz w:val="18"/>
                <w:szCs w:val="18"/>
              </w:rPr>
              <w:t>85</w:t>
            </w:r>
          </w:p>
        </w:tc>
      </w:tr>
      <w:tr w:rsidR="009549EF" w:rsidRPr="009549EF" w:rsidTr="00C30441">
        <w:trPr>
          <w:trHeight w:val="412"/>
        </w:trPr>
        <w:tc>
          <w:tcPr>
            <w:tcW w:w="5240" w:type="dxa"/>
            <w:shd w:val="clear" w:color="auto" w:fill="FFFFFF" w:themeFill="background1"/>
            <w:hideMark/>
          </w:tcPr>
          <w:p w:rsidR="007063DF" w:rsidRPr="009549EF" w:rsidRDefault="007063DF" w:rsidP="007063DF">
            <w:pPr>
              <w:pStyle w:val="BodyText"/>
              <w:rPr>
                <w:b/>
                <w:bCs/>
                <w:color w:val="000000"/>
                <w:sz w:val="18"/>
                <w:szCs w:val="18"/>
              </w:rPr>
            </w:pPr>
            <w:r w:rsidRPr="009549EF">
              <w:rPr>
                <w:b/>
                <w:bCs/>
                <w:color w:val="000000"/>
                <w:sz w:val="18"/>
                <w:szCs w:val="18"/>
              </w:rPr>
              <w:t>Court</w:t>
            </w:r>
          </w:p>
        </w:tc>
        <w:tc>
          <w:tcPr>
            <w:tcW w:w="1058" w:type="dxa"/>
            <w:shd w:val="clear" w:color="auto" w:fill="FFFFFF" w:themeFill="background1"/>
            <w:hideMark/>
          </w:tcPr>
          <w:p w:rsidR="007063DF" w:rsidRPr="009549EF" w:rsidRDefault="007063DF" w:rsidP="007063DF">
            <w:pPr>
              <w:pStyle w:val="BodyText"/>
              <w:rPr>
                <w:sz w:val="18"/>
                <w:szCs w:val="18"/>
              </w:rPr>
            </w:pPr>
            <w:r w:rsidRPr="009549EF">
              <w:rPr>
                <w:sz w:val="18"/>
                <w:szCs w:val="18"/>
              </w:rPr>
              <w:t>72</w:t>
            </w:r>
          </w:p>
        </w:tc>
        <w:tc>
          <w:tcPr>
            <w:tcW w:w="993" w:type="dxa"/>
            <w:shd w:val="clear" w:color="auto" w:fill="FFFFFF" w:themeFill="background1"/>
            <w:hideMark/>
          </w:tcPr>
          <w:p w:rsidR="007063DF" w:rsidRPr="009549EF" w:rsidRDefault="007063DF" w:rsidP="007063DF">
            <w:pPr>
              <w:pStyle w:val="BodyText"/>
              <w:rPr>
                <w:sz w:val="18"/>
                <w:szCs w:val="18"/>
              </w:rPr>
            </w:pPr>
            <w:r w:rsidRPr="009549EF">
              <w:rPr>
                <w:sz w:val="18"/>
                <w:szCs w:val="18"/>
              </w:rPr>
              <w:t>80</w:t>
            </w:r>
          </w:p>
        </w:tc>
        <w:tc>
          <w:tcPr>
            <w:tcW w:w="992" w:type="dxa"/>
            <w:shd w:val="clear" w:color="auto" w:fill="FFFFFF" w:themeFill="background1"/>
            <w:hideMark/>
          </w:tcPr>
          <w:p w:rsidR="007063DF" w:rsidRPr="009549EF" w:rsidRDefault="007063DF" w:rsidP="007063DF">
            <w:pPr>
              <w:pStyle w:val="BodyText"/>
              <w:rPr>
                <w:sz w:val="18"/>
                <w:szCs w:val="18"/>
              </w:rPr>
            </w:pPr>
            <w:r w:rsidRPr="009549EF">
              <w:rPr>
                <w:sz w:val="18"/>
                <w:szCs w:val="18"/>
              </w:rPr>
              <w:t>66</w:t>
            </w:r>
          </w:p>
        </w:tc>
        <w:tc>
          <w:tcPr>
            <w:tcW w:w="1417" w:type="dxa"/>
            <w:shd w:val="clear" w:color="auto" w:fill="FFFFFF" w:themeFill="background1"/>
            <w:hideMark/>
          </w:tcPr>
          <w:p w:rsidR="007063DF" w:rsidRPr="009549EF" w:rsidRDefault="007063DF" w:rsidP="007063DF">
            <w:pPr>
              <w:pStyle w:val="BodyText"/>
              <w:rPr>
                <w:sz w:val="18"/>
                <w:szCs w:val="18"/>
              </w:rPr>
            </w:pPr>
            <w:r w:rsidRPr="009549EF">
              <w:rPr>
                <w:sz w:val="18"/>
                <w:szCs w:val="18"/>
              </w:rPr>
              <w:t>218</w:t>
            </w:r>
          </w:p>
        </w:tc>
      </w:tr>
      <w:tr w:rsidR="009549EF" w:rsidRPr="009549EF" w:rsidTr="00C30441">
        <w:trPr>
          <w:trHeight w:val="412"/>
        </w:trPr>
        <w:tc>
          <w:tcPr>
            <w:tcW w:w="5240" w:type="dxa"/>
            <w:shd w:val="clear" w:color="auto" w:fill="FFFFFF" w:themeFill="background1"/>
            <w:hideMark/>
          </w:tcPr>
          <w:p w:rsidR="007063DF" w:rsidRPr="009549EF" w:rsidRDefault="007063DF" w:rsidP="007063DF">
            <w:pPr>
              <w:pStyle w:val="BodyText"/>
              <w:rPr>
                <w:b/>
                <w:bCs/>
                <w:color w:val="000000"/>
                <w:sz w:val="18"/>
                <w:szCs w:val="18"/>
              </w:rPr>
            </w:pPr>
            <w:r w:rsidRPr="009549EF">
              <w:rPr>
                <w:b/>
                <w:bCs/>
                <w:color w:val="000000"/>
                <w:sz w:val="18"/>
                <w:szCs w:val="18"/>
              </w:rPr>
              <w:t>Criminal record</w:t>
            </w:r>
          </w:p>
        </w:tc>
        <w:tc>
          <w:tcPr>
            <w:tcW w:w="1058" w:type="dxa"/>
            <w:shd w:val="clear" w:color="auto" w:fill="FFFFFF" w:themeFill="background1"/>
            <w:hideMark/>
          </w:tcPr>
          <w:p w:rsidR="007063DF" w:rsidRPr="009549EF" w:rsidRDefault="007063DF" w:rsidP="007063DF">
            <w:pPr>
              <w:pStyle w:val="BodyText"/>
              <w:rPr>
                <w:sz w:val="18"/>
                <w:szCs w:val="18"/>
              </w:rPr>
            </w:pPr>
            <w:r w:rsidRPr="009549EF">
              <w:rPr>
                <w:sz w:val="18"/>
                <w:szCs w:val="18"/>
              </w:rPr>
              <w:t>42</w:t>
            </w:r>
          </w:p>
        </w:tc>
        <w:tc>
          <w:tcPr>
            <w:tcW w:w="993" w:type="dxa"/>
            <w:shd w:val="clear" w:color="auto" w:fill="FFFFFF" w:themeFill="background1"/>
            <w:hideMark/>
          </w:tcPr>
          <w:p w:rsidR="007063DF" w:rsidRPr="009549EF" w:rsidRDefault="007063DF" w:rsidP="007063DF">
            <w:pPr>
              <w:pStyle w:val="BodyText"/>
              <w:rPr>
                <w:sz w:val="18"/>
                <w:szCs w:val="18"/>
              </w:rPr>
            </w:pPr>
            <w:r w:rsidRPr="009549EF">
              <w:rPr>
                <w:sz w:val="18"/>
                <w:szCs w:val="18"/>
              </w:rPr>
              <w:t>22</w:t>
            </w:r>
          </w:p>
        </w:tc>
        <w:tc>
          <w:tcPr>
            <w:tcW w:w="992" w:type="dxa"/>
            <w:shd w:val="clear" w:color="auto" w:fill="FFFFFF" w:themeFill="background1"/>
            <w:hideMark/>
          </w:tcPr>
          <w:p w:rsidR="007063DF" w:rsidRPr="009549EF" w:rsidRDefault="007063DF" w:rsidP="007063DF">
            <w:pPr>
              <w:pStyle w:val="BodyText"/>
              <w:rPr>
                <w:sz w:val="18"/>
                <w:szCs w:val="18"/>
              </w:rPr>
            </w:pPr>
            <w:r w:rsidRPr="009549EF">
              <w:rPr>
                <w:sz w:val="18"/>
                <w:szCs w:val="18"/>
              </w:rPr>
              <w:t>49</w:t>
            </w:r>
          </w:p>
        </w:tc>
        <w:tc>
          <w:tcPr>
            <w:tcW w:w="1417" w:type="dxa"/>
            <w:shd w:val="clear" w:color="auto" w:fill="FFFFFF" w:themeFill="background1"/>
            <w:hideMark/>
          </w:tcPr>
          <w:p w:rsidR="007063DF" w:rsidRPr="009549EF" w:rsidRDefault="007063DF" w:rsidP="007063DF">
            <w:pPr>
              <w:pStyle w:val="BodyText"/>
              <w:rPr>
                <w:sz w:val="18"/>
                <w:szCs w:val="18"/>
              </w:rPr>
            </w:pPr>
            <w:r w:rsidRPr="009549EF">
              <w:rPr>
                <w:sz w:val="18"/>
                <w:szCs w:val="18"/>
              </w:rPr>
              <w:t>113</w:t>
            </w:r>
          </w:p>
        </w:tc>
      </w:tr>
      <w:tr w:rsidR="009549EF" w:rsidRPr="009549EF" w:rsidTr="00C30441">
        <w:trPr>
          <w:trHeight w:val="412"/>
        </w:trPr>
        <w:tc>
          <w:tcPr>
            <w:tcW w:w="5240" w:type="dxa"/>
            <w:shd w:val="clear" w:color="auto" w:fill="FFFFFF" w:themeFill="background1"/>
            <w:hideMark/>
          </w:tcPr>
          <w:p w:rsidR="007063DF" w:rsidRPr="009549EF" w:rsidRDefault="007063DF" w:rsidP="007063DF">
            <w:pPr>
              <w:pStyle w:val="BodyText"/>
              <w:rPr>
                <w:b/>
                <w:bCs/>
                <w:color w:val="000000"/>
                <w:sz w:val="18"/>
                <w:szCs w:val="18"/>
              </w:rPr>
            </w:pPr>
            <w:r w:rsidRPr="009549EF">
              <w:rPr>
                <w:b/>
                <w:bCs/>
                <w:color w:val="000000"/>
                <w:sz w:val="18"/>
                <w:szCs w:val="18"/>
              </w:rPr>
              <w:t>Disability</w:t>
            </w:r>
          </w:p>
        </w:tc>
        <w:tc>
          <w:tcPr>
            <w:tcW w:w="1058" w:type="dxa"/>
            <w:shd w:val="clear" w:color="auto" w:fill="FFFFFF" w:themeFill="background1"/>
            <w:hideMark/>
          </w:tcPr>
          <w:p w:rsidR="007063DF" w:rsidRPr="009549EF" w:rsidRDefault="007063DF" w:rsidP="007063DF">
            <w:pPr>
              <w:pStyle w:val="BodyText"/>
              <w:rPr>
                <w:sz w:val="18"/>
                <w:szCs w:val="18"/>
              </w:rPr>
            </w:pPr>
            <w:r w:rsidRPr="009549EF">
              <w:rPr>
                <w:sz w:val="18"/>
                <w:szCs w:val="18"/>
              </w:rPr>
              <w:t>1749</w:t>
            </w:r>
          </w:p>
        </w:tc>
        <w:tc>
          <w:tcPr>
            <w:tcW w:w="993" w:type="dxa"/>
            <w:shd w:val="clear" w:color="auto" w:fill="FFFFFF" w:themeFill="background1"/>
            <w:hideMark/>
          </w:tcPr>
          <w:p w:rsidR="007063DF" w:rsidRPr="009549EF" w:rsidRDefault="007063DF" w:rsidP="007063DF">
            <w:pPr>
              <w:pStyle w:val="BodyText"/>
              <w:rPr>
                <w:sz w:val="18"/>
                <w:szCs w:val="18"/>
              </w:rPr>
            </w:pPr>
            <w:r w:rsidRPr="009549EF">
              <w:rPr>
                <w:sz w:val="18"/>
                <w:szCs w:val="18"/>
              </w:rPr>
              <w:t>1845</w:t>
            </w:r>
          </w:p>
        </w:tc>
        <w:tc>
          <w:tcPr>
            <w:tcW w:w="992" w:type="dxa"/>
            <w:shd w:val="clear" w:color="auto" w:fill="FFFFFF" w:themeFill="background1"/>
            <w:hideMark/>
          </w:tcPr>
          <w:p w:rsidR="007063DF" w:rsidRPr="009549EF" w:rsidRDefault="007063DF" w:rsidP="007063DF">
            <w:pPr>
              <w:pStyle w:val="BodyText"/>
              <w:rPr>
                <w:sz w:val="18"/>
                <w:szCs w:val="18"/>
              </w:rPr>
            </w:pPr>
            <w:r w:rsidRPr="009549EF">
              <w:rPr>
                <w:sz w:val="18"/>
                <w:szCs w:val="18"/>
              </w:rPr>
              <w:t>1710</w:t>
            </w:r>
          </w:p>
        </w:tc>
        <w:tc>
          <w:tcPr>
            <w:tcW w:w="1417" w:type="dxa"/>
            <w:shd w:val="clear" w:color="auto" w:fill="FFFFFF" w:themeFill="background1"/>
            <w:hideMark/>
          </w:tcPr>
          <w:p w:rsidR="007063DF" w:rsidRPr="009549EF" w:rsidRDefault="007063DF" w:rsidP="007063DF">
            <w:pPr>
              <w:pStyle w:val="BodyText"/>
              <w:rPr>
                <w:sz w:val="18"/>
                <w:szCs w:val="18"/>
              </w:rPr>
            </w:pPr>
            <w:r w:rsidRPr="009549EF">
              <w:rPr>
                <w:sz w:val="18"/>
                <w:szCs w:val="18"/>
              </w:rPr>
              <w:t>5304</w:t>
            </w:r>
          </w:p>
        </w:tc>
      </w:tr>
      <w:tr w:rsidR="009549EF" w:rsidRPr="009549EF" w:rsidTr="00C30441">
        <w:trPr>
          <w:trHeight w:val="412"/>
        </w:trPr>
        <w:tc>
          <w:tcPr>
            <w:tcW w:w="5240" w:type="dxa"/>
            <w:shd w:val="clear" w:color="auto" w:fill="FFFFFF" w:themeFill="background1"/>
            <w:hideMark/>
          </w:tcPr>
          <w:p w:rsidR="007063DF" w:rsidRPr="009549EF" w:rsidRDefault="007063DF" w:rsidP="007063DF">
            <w:pPr>
              <w:pStyle w:val="BodyText"/>
              <w:rPr>
                <w:b/>
                <w:bCs/>
                <w:color w:val="000000"/>
                <w:sz w:val="18"/>
                <w:szCs w:val="18"/>
              </w:rPr>
            </w:pPr>
            <w:r w:rsidRPr="009549EF">
              <w:rPr>
                <w:b/>
                <w:bCs/>
                <w:color w:val="000000"/>
                <w:sz w:val="18"/>
                <w:szCs w:val="18"/>
              </w:rPr>
              <w:t>Discriminatory Advertisement</w:t>
            </w:r>
          </w:p>
        </w:tc>
        <w:tc>
          <w:tcPr>
            <w:tcW w:w="1058" w:type="dxa"/>
            <w:shd w:val="clear" w:color="auto" w:fill="FFFFFF" w:themeFill="background1"/>
            <w:hideMark/>
          </w:tcPr>
          <w:p w:rsidR="007063DF" w:rsidRPr="009549EF" w:rsidRDefault="007063DF" w:rsidP="007063DF">
            <w:pPr>
              <w:pStyle w:val="BodyText"/>
              <w:rPr>
                <w:sz w:val="18"/>
                <w:szCs w:val="18"/>
              </w:rPr>
            </w:pPr>
            <w:r w:rsidRPr="009549EF">
              <w:rPr>
                <w:sz w:val="18"/>
                <w:szCs w:val="18"/>
              </w:rPr>
              <w:t>15</w:t>
            </w:r>
          </w:p>
        </w:tc>
        <w:tc>
          <w:tcPr>
            <w:tcW w:w="993" w:type="dxa"/>
            <w:shd w:val="clear" w:color="auto" w:fill="FFFFFF" w:themeFill="background1"/>
            <w:hideMark/>
          </w:tcPr>
          <w:p w:rsidR="007063DF" w:rsidRPr="009549EF" w:rsidRDefault="007063DF" w:rsidP="007063DF">
            <w:pPr>
              <w:pStyle w:val="BodyText"/>
              <w:rPr>
                <w:sz w:val="18"/>
                <w:szCs w:val="18"/>
              </w:rPr>
            </w:pPr>
            <w:r w:rsidRPr="009549EF">
              <w:rPr>
                <w:sz w:val="18"/>
                <w:szCs w:val="18"/>
              </w:rPr>
              <w:t>1</w:t>
            </w:r>
          </w:p>
        </w:tc>
        <w:tc>
          <w:tcPr>
            <w:tcW w:w="992" w:type="dxa"/>
            <w:shd w:val="clear" w:color="auto" w:fill="FFFFFF" w:themeFill="background1"/>
            <w:hideMark/>
          </w:tcPr>
          <w:p w:rsidR="007063DF" w:rsidRPr="009549EF" w:rsidRDefault="007063DF" w:rsidP="007063DF">
            <w:pPr>
              <w:pStyle w:val="BodyText"/>
              <w:rPr>
                <w:sz w:val="18"/>
                <w:szCs w:val="18"/>
              </w:rPr>
            </w:pPr>
            <w:r w:rsidRPr="009549EF">
              <w:rPr>
                <w:sz w:val="18"/>
                <w:szCs w:val="18"/>
              </w:rPr>
              <w:t>2</w:t>
            </w:r>
          </w:p>
        </w:tc>
        <w:tc>
          <w:tcPr>
            <w:tcW w:w="1417" w:type="dxa"/>
            <w:shd w:val="clear" w:color="auto" w:fill="FFFFFF" w:themeFill="background1"/>
            <w:hideMark/>
          </w:tcPr>
          <w:p w:rsidR="007063DF" w:rsidRPr="009549EF" w:rsidRDefault="007063DF" w:rsidP="007063DF">
            <w:pPr>
              <w:pStyle w:val="BodyText"/>
              <w:rPr>
                <w:sz w:val="18"/>
                <w:szCs w:val="18"/>
              </w:rPr>
            </w:pPr>
            <w:r w:rsidRPr="009549EF">
              <w:rPr>
                <w:sz w:val="18"/>
                <w:szCs w:val="18"/>
              </w:rPr>
              <w:t>18</w:t>
            </w:r>
          </w:p>
        </w:tc>
      </w:tr>
      <w:tr w:rsidR="009549EF" w:rsidRPr="009549EF" w:rsidTr="00C30441">
        <w:trPr>
          <w:trHeight w:val="412"/>
        </w:trPr>
        <w:tc>
          <w:tcPr>
            <w:tcW w:w="5240" w:type="dxa"/>
            <w:shd w:val="clear" w:color="auto" w:fill="FFFFFF" w:themeFill="background1"/>
            <w:hideMark/>
          </w:tcPr>
          <w:p w:rsidR="007063DF" w:rsidRPr="009549EF" w:rsidRDefault="007063DF" w:rsidP="007063DF">
            <w:pPr>
              <w:pStyle w:val="BodyText"/>
              <w:rPr>
                <w:b/>
                <w:bCs/>
                <w:color w:val="000000"/>
                <w:sz w:val="18"/>
                <w:szCs w:val="18"/>
              </w:rPr>
            </w:pPr>
            <w:r w:rsidRPr="009549EF">
              <w:rPr>
                <w:b/>
                <w:bCs/>
                <w:color w:val="000000"/>
                <w:sz w:val="18"/>
                <w:szCs w:val="18"/>
              </w:rPr>
              <w:t>Discriminatory information request</w:t>
            </w:r>
          </w:p>
        </w:tc>
        <w:tc>
          <w:tcPr>
            <w:tcW w:w="1058" w:type="dxa"/>
            <w:shd w:val="clear" w:color="auto" w:fill="FFFFFF" w:themeFill="background1"/>
            <w:hideMark/>
          </w:tcPr>
          <w:p w:rsidR="007063DF" w:rsidRPr="009549EF" w:rsidRDefault="007063DF" w:rsidP="007063DF">
            <w:pPr>
              <w:pStyle w:val="BodyText"/>
              <w:rPr>
                <w:sz w:val="18"/>
                <w:szCs w:val="18"/>
              </w:rPr>
            </w:pPr>
            <w:r w:rsidRPr="009549EF">
              <w:rPr>
                <w:sz w:val="18"/>
                <w:szCs w:val="18"/>
              </w:rPr>
              <w:t>73</w:t>
            </w:r>
          </w:p>
        </w:tc>
        <w:tc>
          <w:tcPr>
            <w:tcW w:w="993" w:type="dxa"/>
            <w:shd w:val="clear" w:color="auto" w:fill="FFFFFF" w:themeFill="background1"/>
            <w:hideMark/>
          </w:tcPr>
          <w:p w:rsidR="007063DF" w:rsidRPr="009549EF" w:rsidRDefault="007063DF" w:rsidP="007063DF">
            <w:pPr>
              <w:pStyle w:val="BodyText"/>
              <w:rPr>
                <w:sz w:val="18"/>
                <w:szCs w:val="18"/>
              </w:rPr>
            </w:pPr>
            <w:r w:rsidRPr="009549EF">
              <w:rPr>
                <w:sz w:val="18"/>
                <w:szCs w:val="18"/>
              </w:rPr>
              <w:t>58</w:t>
            </w:r>
          </w:p>
        </w:tc>
        <w:tc>
          <w:tcPr>
            <w:tcW w:w="992" w:type="dxa"/>
            <w:shd w:val="clear" w:color="auto" w:fill="FFFFFF" w:themeFill="background1"/>
            <w:hideMark/>
          </w:tcPr>
          <w:p w:rsidR="007063DF" w:rsidRPr="009549EF" w:rsidRDefault="007063DF" w:rsidP="007063DF">
            <w:pPr>
              <w:pStyle w:val="BodyText"/>
              <w:rPr>
                <w:sz w:val="18"/>
                <w:szCs w:val="18"/>
              </w:rPr>
            </w:pPr>
            <w:r w:rsidRPr="009549EF">
              <w:rPr>
                <w:sz w:val="18"/>
                <w:szCs w:val="18"/>
              </w:rPr>
              <w:t>84</w:t>
            </w:r>
          </w:p>
        </w:tc>
        <w:tc>
          <w:tcPr>
            <w:tcW w:w="1417" w:type="dxa"/>
            <w:shd w:val="clear" w:color="auto" w:fill="FFFFFF" w:themeFill="background1"/>
            <w:hideMark/>
          </w:tcPr>
          <w:p w:rsidR="007063DF" w:rsidRPr="009549EF" w:rsidRDefault="007063DF" w:rsidP="007063DF">
            <w:pPr>
              <w:pStyle w:val="BodyText"/>
              <w:rPr>
                <w:sz w:val="18"/>
                <w:szCs w:val="18"/>
              </w:rPr>
            </w:pPr>
            <w:r w:rsidRPr="009549EF">
              <w:rPr>
                <w:sz w:val="18"/>
                <w:szCs w:val="18"/>
              </w:rPr>
              <w:t>215</w:t>
            </w:r>
          </w:p>
        </w:tc>
      </w:tr>
      <w:tr w:rsidR="009549EF" w:rsidRPr="009549EF" w:rsidTr="00C30441">
        <w:trPr>
          <w:trHeight w:val="412"/>
        </w:trPr>
        <w:tc>
          <w:tcPr>
            <w:tcW w:w="5240" w:type="dxa"/>
            <w:shd w:val="clear" w:color="auto" w:fill="FFFFFF" w:themeFill="background1"/>
            <w:hideMark/>
          </w:tcPr>
          <w:p w:rsidR="007063DF" w:rsidRPr="009549EF" w:rsidRDefault="007063DF" w:rsidP="007063DF">
            <w:pPr>
              <w:pStyle w:val="BodyText"/>
              <w:rPr>
                <w:b/>
                <w:bCs/>
                <w:color w:val="000000"/>
                <w:sz w:val="18"/>
                <w:szCs w:val="18"/>
              </w:rPr>
            </w:pPr>
            <w:r w:rsidRPr="009549EF">
              <w:rPr>
                <w:b/>
                <w:bCs/>
                <w:color w:val="000000"/>
                <w:sz w:val="18"/>
                <w:szCs w:val="18"/>
              </w:rPr>
              <w:t>Education</w:t>
            </w:r>
          </w:p>
        </w:tc>
        <w:tc>
          <w:tcPr>
            <w:tcW w:w="1058" w:type="dxa"/>
            <w:shd w:val="clear" w:color="auto" w:fill="FFFFFF" w:themeFill="background1"/>
            <w:hideMark/>
          </w:tcPr>
          <w:p w:rsidR="007063DF" w:rsidRPr="009549EF" w:rsidRDefault="007063DF" w:rsidP="007063DF">
            <w:pPr>
              <w:pStyle w:val="BodyText"/>
              <w:rPr>
                <w:sz w:val="18"/>
                <w:szCs w:val="18"/>
              </w:rPr>
            </w:pPr>
            <w:r w:rsidRPr="009549EF">
              <w:rPr>
                <w:sz w:val="18"/>
                <w:szCs w:val="18"/>
              </w:rPr>
              <w:t>35</w:t>
            </w:r>
          </w:p>
        </w:tc>
        <w:tc>
          <w:tcPr>
            <w:tcW w:w="993" w:type="dxa"/>
            <w:shd w:val="clear" w:color="auto" w:fill="FFFFFF" w:themeFill="background1"/>
            <w:hideMark/>
          </w:tcPr>
          <w:p w:rsidR="007063DF" w:rsidRPr="009549EF" w:rsidRDefault="007063DF" w:rsidP="007063DF">
            <w:pPr>
              <w:pStyle w:val="BodyText"/>
              <w:rPr>
                <w:sz w:val="18"/>
                <w:szCs w:val="18"/>
              </w:rPr>
            </w:pPr>
            <w:r w:rsidRPr="009549EF">
              <w:rPr>
                <w:sz w:val="18"/>
                <w:szCs w:val="18"/>
              </w:rPr>
              <w:t>35</w:t>
            </w:r>
          </w:p>
        </w:tc>
        <w:tc>
          <w:tcPr>
            <w:tcW w:w="992" w:type="dxa"/>
            <w:shd w:val="clear" w:color="auto" w:fill="FFFFFF" w:themeFill="background1"/>
            <w:hideMark/>
          </w:tcPr>
          <w:p w:rsidR="007063DF" w:rsidRPr="009549EF" w:rsidRDefault="007063DF" w:rsidP="007063DF">
            <w:pPr>
              <w:pStyle w:val="BodyText"/>
              <w:rPr>
                <w:sz w:val="18"/>
                <w:szCs w:val="18"/>
              </w:rPr>
            </w:pPr>
            <w:r w:rsidRPr="009549EF">
              <w:rPr>
                <w:sz w:val="18"/>
                <w:szCs w:val="18"/>
              </w:rPr>
              <w:t>33</w:t>
            </w:r>
          </w:p>
        </w:tc>
        <w:tc>
          <w:tcPr>
            <w:tcW w:w="1417" w:type="dxa"/>
            <w:shd w:val="clear" w:color="auto" w:fill="FFFFFF" w:themeFill="background1"/>
            <w:hideMark/>
          </w:tcPr>
          <w:p w:rsidR="007063DF" w:rsidRPr="009549EF" w:rsidRDefault="007063DF" w:rsidP="007063DF">
            <w:pPr>
              <w:pStyle w:val="BodyText"/>
              <w:rPr>
                <w:sz w:val="18"/>
                <w:szCs w:val="18"/>
              </w:rPr>
            </w:pPr>
            <w:r w:rsidRPr="009549EF">
              <w:rPr>
                <w:sz w:val="18"/>
                <w:szCs w:val="18"/>
              </w:rPr>
              <w:t>103</w:t>
            </w:r>
          </w:p>
        </w:tc>
      </w:tr>
      <w:tr w:rsidR="009549EF" w:rsidRPr="009549EF" w:rsidTr="00C30441">
        <w:trPr>
          <w:trHeight w:val="412"/>
        </w:trPr>
        <w:tc>
          <w:tcPr>
            <w:tcW w:w="5240" w:type="dxa"/>
            <w:shd w:val="clear" w:color="auto" w:fill="FFFFFF" w:themeFill="background1"/>
            <w:hideMark/>
          </w:tcPr>
          <w:p w:rsidR="007063DF" w:rsidRPr="009549EF" w:rsidRDefault="007063DF" w:rsidP="007063DF">
            <w:pPr>
              <w:pStyle w:val="BodyText"/>
              <w:rPr>
                <w:b/>
                <w:bCs/>
                <w:color w:val="000000"/>
                <w:sz w:val="18"/>
                <w:szCs w:val="18"/>
              </w:rPr>
            </w:pPr>
            <w:r w:rsidRPr="009549EF">
              <w:rPr>
                <w:b/>
                <w:bCs/>
                <w:color w:val="000000"/>
                <w:sz w:val="18"/>
                <w:szCs w:val="18"/>
              </w:rPr>
              <w:t>Employment activity</w:t>
            </w:r>
          </w:p>
        </w:tc>
        <w:tc>
          <w:tcPr>
            <w:tcW w:w="1058" w:type="dxa"/>
            <w:shd w:val="clear" w:color="auto" w:fill="FFFFFF" w:themeFill="background1"/>
            <w:hideMark/>
          </w:tcPr>
          <w:p w:rsidR="007063DF" w:rsidRPr="009549EF" w:rsidRDefault="007063DF" w:rsidP="007063DF">
            <w:pPr>
              <w:pStyle w:val="BodyText"/>
              <w:rPr>
                <w:sz w:val="18"/>
                <w:szCs w:val="18"/>
              </w:rPr>
            </w:pPr>
            <w:r w:rsidRPr="009549EF">
              <w:rPr>
                <w:sz w:val="18"/>
                <w:szCs w:val="18"/>
              </w:rPr>
              <w:t>279</w:t>
            </w:r>
          </w:p>
        </w:tc>
        <w:tc>
          <w:tcPr>
            <w:tcW w:w="993" w:type="dxa"/>
            <w:shd w:val="clear" w:color="auto" w:fill="FFFFFF" w:themeFill="background1"/>
            <w:hideMark/>
          </w:tcPr>
          <w:p w:rsidR="007063DF" w:rsidRPr="009549EF" w:rsidRDefault="007063DF" w:rsidP="007063DF">
            <w:pPr>
              <w:pStyle w:val="BodyText"/>
              <w:rPr>
                <w:sz w:val="18"/>
                <w:szCs w:val="18"/>
              </w:rPr>
            </w:pPr>
            <w:r w:rsidRPr="009549EF">
              <w:rPr>
                <w:sz w:val="18"/>
                <w:szCs w:val="18"/>
              </w:rPr>
              <w:t>261</w:t>
            </w:r>
          </w:p>
        </w:tc>
        <w:tc>
          <w:tcPr>
            <w:tcW w:w="992" w:type="dxa"/>
            <w:shd w:val="clear" w:color="auto" w:fill="FFFFFF" w:themeFill="background1"/>
            <w:hideMark/>
          </w:tcPr>
          <w:p w:rsidR="007063DF" w:rsidRPr="009549EF" w:rsidRDefault="007063DF" w:rsidP="007063DF">
            <w:pPr>
              <w:pStyle w:val="BodyText"/>
              <w:rPr>
                <w:sz w:val="18"/>
                <w:szCs w:val="18"/>
              </w:rPr>
            </w:pPr>
            <w:r w:rsidRPr="009549EF">
              <w:rPr>
                <w:sz w:val="18"/>
                <w:szCs w:val="18"/>
              </w:rPr>
              <w:t>303</w:t>
            </w:r>
          </w:p>
        </w:tc>
        <w:tc>
          <w:tcPr>
            <w:tcW w:w="1417" w:type="dxa"/>
            <w:shd w:val="clear" w:color="auto" w:fill="FFFFFF" w:themeFill="background1"/>
            <w:hideMark/>
          </w:tcPr>
          <w:p w:rsidR="007063DF" w:rsidRPr="009549EF" w:rsidRDefault="007063DF" w:rsidP="007063DF">
            <w:pPr>
              <w:pStyle w:val="BodyText"/>
              <w:rPr>
                <w:sz w:val="18"/>
                <w:szCs w:val="18"/>
              </w:rPr>
            </w:pPr>
            <w:r w:rsidRPr="009549EF">
              <w:rPr>
                <w:sz w:val="18"/>
                <w:szCs w:val="18"/>
              </w:rPr>
              <w:t>843</w:t>
            </w:r>
          </w:p>
        </w:tc>
      </w:tr>
      <w:tr w:rsidR="009549EF" w:rsidRPr="009549EF" w:rsidTr="00C30441">
        <w:trPr>
          <w:trHeight w:val="412"/>
        </w:trPr>
        <w:tc>
          <w:tcPr>
            <w:tcW w:w="5240" w:type="dxa"/>
            <w:shd w:val="clear" w:color="auto" w:fill="FFFFFF" w:themeFill="background1"/>
            <w:hideMark/>
          </w:tcPr>
          <w:p w:rsidR="007063DF" w:rsidRPr="009549EF" w:rsidRDefault="007063DF" w:rsidP="007063DF">
            <w:pPr>
              <w:pStyle w:val="BodyText"/>
              <w:rPr>
                <w:b/>
                <w:bCs/>
                <w:color w:val="000000"/>
                <w:sz w:val="18"/>
                <w:szCs w:val="18"/>
              </w:rPr>
            </w:pPr>
            <w:r w:rsidRPr="009549EF">
              <w:rPr>
                <w:b/>
                <w:bCs/>
                <w:color w:val="000000"/>
                <w:sz w:val="18"/>
                <w:szCs w:val="18"/>
              </w:rPr>
              <w:t>Employment Law</w:t>
            </w:r>
          </w:p>
        </w:tc>
        <w:tc>
          <w:tcPr>
            <w:tcW w:w="1058" w:type="dxa"/>
            <w:shd w:val="clear" w:color="auto" w:fill="FFFFFF" w:themeFill="background1"/>
            <w:hideMark/>
          </w:tcPr>
          <w:p w:rsidR="007063DF" w:rsidRPr="009549EF" w:rsidRDefault="007063DF" w:rsidP="007063DF">
            <w:pPr>
              <w:pStyle w:val="BodyText"/>
              <w:rPr>
                <w:sz w:val="18"/>
                <w:szCs w:val="18"/>
              </w:rPr>
            </w:pPr>
            <w:r w:rsidRPr="009549EF">
              <w:rPr>
                <w:sz w:val="18"/>
                <w:szCs w:val="18"/>
              </w:rPr>
              <w:t>298</w:t>
            </w:r>
          </w:p>
        </w:tc>
        <w:tc>
          <w:tcPr>
            <w:tcW w:w="993" w:type="dxa"/>
            <w:shd w:val="clear" w:color="auto" w:fill="FFFFFF" w:themeFill="background1"/>
            <w:hideMark/>
          </w:tcPr>
          <w:p w:rsidR="007063DF" w:rsidRPr="009549EF" w:rsidRDefault="007063DF" w:rsidP="007063DF">
            <w:pPr>
              <w:pStyle w:val="BodyText"/>
              <w:rPr>
                <w:sz w:val="18"/>
                <w:szCs w:val="18"/>
              </w:rPr>
            </w:pPr>
            <w:r w:rsidRPr="009549EF">
              <w:rPr>
                <w:sz w:val="18"/>
                <w:szCs w:val="18"/>
              </w:rPr>
              <w:t>224</w:t>
            </w:r>
          </w:p>
        </w:tc>
        <w:tc>
          <w:tcPr>
            <w:tcW w:w="992" w:type="dxa"/>
            <w:shd w:val="clear" w:color="auto" w:fill="FFFFFF" w:themeFill="background1"/>
            <w:hideMark/>
          </w:tcPr>
          <w:p w:rsidR="007063DF" w:rsidRPr="009549EF" w:rsidRDefault="007063DF" w:rsidP="007063DF">
            <w:pPr>
              <w:pStyle w:val="BodyText"/>
              <w:rPr>
                <w:sz w:val="18"/>
                <w:szCs w:val="18"/>
              </w:rPr>
            </w:pPr>
            <w:r w:rsidRPr="009549EF">
              <w:rPr>
                <w:sz w:val="18"/>
                <w:szCs w:val="18"/>
              </w:rPr>
              <w:t>144</w:t>
            </w:r>
          </w:p>
        </w:tc>
        <w:tc>
          <w:tcPr>
            <w:tcW w:w="1417" w:type="dxa"/>
            <w:shd w:val="clear" w:color="auto" w:fill="FFFFFF" w:themeFill="background1"/>
            <w:hideMark/>
          </w:tcPr>
          <w:p w:rsidR="007063DF" w:rsidRPr="009549EF" w:rsidRDefault="007063DF" w:rsidP="007063DF">
            <w:pPr>
              <w:pStyle w:val="BodyText"/>
              <w:rPr>
                <w:sz w:val="18"/>
                <w:szCs w:val="18"/>
              </w:rPr>
            </w:pPr>
            <w:r w:rsidRPr="009549EF">
              <w:rPr>
                <w:sz w:val="18"/>
                <w:szCs w:val="18"/>
              </w:rPr>
              <w:t>666</w:t>
            </w:r>
          </w:p>
        </w:tc>
      </w:tr>
      <w:tr w:rsidR="009549EF" w:rsidRPr="009549EF" w:rsidTr="00C30441">
        <w:trPr>
          <w:trHeight w:val="412"/>
        </w:trPr>
        <w:tc>
          <w:tcPr>
            <w:tcW w:w="5240" w:type="dxa"/>
            <w:shd w:val="clear" w:color="auto" w:fill="FFFFFF" w:themeFill="background1"/>
            <w:hideMark/>
          </w:tcPr>
          <w:p w:rsidR="007063DF" w:rsidRPr="009549EF" w:rsidRDefault="007063DF" w:rsidP="007063DF">
            <w:pPr>
              <w:pStyle w:val="BodyText"/>
              <w:rPr>
                <w:b/>
                <w:bCs/>
                <w:color w:val="000000"/>
                <w:sz w:val="18"/>
                <w:szCs w:val="18"/>
              </w:rPr>
            </w:pPr>
            <w:r w:rsidRPr="009549EF">
              <w:rPr>
                <w:b/>
                <w:bCs/>
                <w:color w:val="000000"/>
                <w:sz w:val="18"/>
                <w:szCs w:val="18"/>
              </w:rPr>
              <w:t>EO -Information provided</w:t>
            </w:r>
          </w:p>
        </w:tc>
        <w:tc>
          <w:tcPr>
            <w:tcW w:w="1058" w:type="dxa"/>
            <w:shd w:val="clear" w:color="auto" w:fill="FFFFFF" w:themeFill="background1"/>
            <w:hideMark/>
          </w:tcPr>
          <w:p w:rsidR="007063DF" w:rsidRPr="009549EF" w:rsidRDefault="007063DF" w:rsidP="007063DF">
            <w:pPr>
              <w:pStyle w:val="BodyText"/>
              <w:rPr>
                <w:sz w:val="18"/>
                <w:szCs w:val="18"/>
              </w:rPr>
            </w:pPr>
            <w:r w:rsidRPr="009549EF">
              <w:rPr>
                <w:sz w:val="18"/>
                <w:szCs w:val="18"/>
              </w:rPr>
              <w:t>1060</w:t>
            </w:r>
          </w:p>
        </w:tc>
        <w:tc>
          <w:tcPr>
            <w:tcW w:w="993" w:type="dxa"/>
            <w:shd w:val="clear" w:color="auto" w:fill="FFFFFF" w:themeFill="background1"/>
            <w:hideMark/>
          </w:tcPr>
          <w:p w:rsidR="007063DF" w:rsidRPr="009549EF" w:rsidRDefault="007063DF" w:rsidP="007063DF">
            <w:pPr>
              <w:pStyle w:val="BodyText"/>
              <w:rPr>
                <w:sz w:val="18"/>
                <w:szCs w:val="18"/>
              </w:rPr>
            </w:pPr>
            <w:r w:rsidRPr="009549EF">
              <w:rPr>
                <w:sz w:val="18"/>
                <w:szCs w:val="18"/>
              </w:rPr>
              <w:t>900</w:t>
            </w:r>
          </w:p>
        </w:tc>
        <w:tc>
          <w:tcPr>
            <w:tcW w:w="992" w:type="dxa"/>
            <w:shd w:val="clear" w:color="auto" w:fill="FFFFFF" w:themeFill="background1"/>
            <w:hideMark/>
          </w:tcPr>
          <w:p w:rsidR="007063DF" w:rsidRPr="009549EF" w:rsidRDefault="007063DF" w:rsidP="007063DF">
            <w:pPr>
              <w:pStyle w:val="BodyText"/>
              <w:rPr>
                <w:sz w:val="18"/>
                <w:szCs w:val="18"/>
              </w:rPr>
            </w:pPr>
            <w:r w:rsidRPr="009549EF">
              <w:rPr>
                <w:sz w:val="18"/>
                <w:szCs w:val="18"/>
              </w:rPr>
              <w:t>1189</w:t>
            </w:r>
          </w:p>
        </w:tc>
        <w:tc>
          <w:tcPr>
            <w:tcW w:w="1417" w:type="dxa"/>
            <w:shd w:val="clear" w:color="auto" w:fill="FFFFFF" w:themeFill="background1"/>
            <w:hideMark/>
          </w:tcPr>
          <w:p w:rsidR="007063DF" w:rsidRPr="009549EF" w:rsidRDefault="007063DF" w:rsidP="007063DF">
            <w:pPr>
              <w:pStyle w:val="BodyText"/>
              <w:rPr>
                <w:sz w:val="18"/>
                <w:szCs w:val="18"/>
              </w:rPr>
            </w:pPr>
            <w:r w:rsidRPr="009549EF">
              <w:rPr>
                <w:sz w:val="18"/>
                <w:szCs w:val="18"/>
              </w:rPr>
              <w:t>1960</w:t>
            </w:r>
          </w:p>
        </w:tc>
      </w:tr>
      <w:tr w:rsidR="009549EF" w:rsidRPr="009549EF" w:rsidTr="00C30441">
        <w:trPr>
          <w:trHeight w:val="412"/>
        </w:trPr>
        <w:tc>
          <w:tcPr>
            <w:tcW w:w="5240" w:type="dxa"/>
            <w:shd w:val="clear" w:color="auto" w:fill="FFFFFF" w:themeFill="background1"/>
            <w:hideMark/>
          </w:tcPr>
          <w:p w:rsidR="007063DF" w:rsidRPr="009549EF" w:rsidRDefault="007063DF" w:rsidP="007063DF">
            <w:pPr>
              <w:pStyle w:val="BodyText"/>
              <w:rPr>
                <w:b/>
                <w:bCs/>
                <w:color w:val="000000"/>
                <w:sz w:val="18"/>
                <w:szCs w:val="18"/>
              </w:rPr>
            </w:pPr>
            <w:r w:rsidRPr="009549EF">
              <w:rPr>
                <w:b/>
                <w:bCs/>
                <w:color w:val="000000"/>
                <w:sz w:val="18"/>
                <w:szCs w:val="18"/>
              </w:rPr>
              <w:t>Expunged homosexual conviction</w:t>
            </w:r>
          </w:p>
        </w:tc>
        <w:tc>
          <w:tcPr>
            <w:tcW w:w="1058" w:type="dxa"/>
            <w:shd w:val="clear" w:color="auto" w:fill="FFFFFF" w:themeFill="background1"/>
            <w:hideMark/>
          </w:tcPr>
          <w:p w:rsidR="007063DF" w:rsidRPr="009549EF" w:rsidRDefault="007063DF" w:rsidP="007063DF">
            <w:pPr>
              <w:pStyle w:val="BodyText"/>
              <w:rPr>
                <w:sz w:val="18"/>
                <w:szCs w:val="18"/>
              </w:rPr>
            </w:pPr>
            <w:r w:rsidRPr="009549EF">
              <w:rPr>
                <w:sz w:val="18"/>
                <w:szCs w:val="18"/>
              </w:rPr>
              <w:t>2</w:t>
            </w:r>
          </w:p>
        </w:tc>
        <w:tc>
          <w:tcPr>
            <w:tcW w:w="993" w:type="dxa"/>
            <w:shd w:val="clear" w:color="auto" w:fill="FFFFFF" w:themeFill="background1"/>
            <w:hideMark/>
          </w:tcPr>
          <w:p w:rsidR="007063DF" w:rsidRPr="009549EF" w:rsidRDefault="007063DF" w:rsidP="007063DF">
            <w:pPr>
              <w:pStyle w:val="BodyText"/>
              <w:rPr>
                <w:sz w:val="18"/>
                <w:szCs w:val="18"/>
              </w:rPr>
            </w:pPr>
            <w:r w:rsidRPr="009549EF">
              <w:rPr>
                <w:sz w:val="18"/>
                <w:szCs w:val="18"/>
              </w:rPr>
              <w:t>1</w:t>
            </w:r>
          </w:p>
        </w:tc>
        <w:tc>
          <w:tcPr>
            <w:tcW w:w="992" w:type="dxa"/>
            <w:shd w:val="clear" w:color="auto" w:fill="FFFFFF" w:themeFill="background1"/>
            <w:hideMark/>
          </w:tcPr>
          <w:p w:rsidR="007063DF" w:rsidRPr="009549EF" w:rsidRDefault="007063DF" w:rsidP="007063DF">
            <w:pPr>
              <w:pStyle w:val="BodyText"/>
              <w:rPr>
                <w:sz w:val="18"/>
                <w:szCs w:val="18"/>
              </w:rPr>
            </w:pPr>
            <w:r w:rsidRPr="009549EF">
              <w:rPr>
                <w:sz w:val="18"/>
                <w:szCs w:val="18"/>
              </w:rPr>
              <w:t> </w:t>
            </w:r>
          </w:p>
        </w:tc>
        <w:tc>
          <w:tcPr>
            <w:tcW w:w="1417" w:type="dxa"/>
            <w:shd w:val="clear" w:color="auto" w:fill="FFFFFF" w:themeFill="background1"/>
            <w:hideMark/>
          </w:tcPr>
          <w:p w:rsidR="007063DF" w:rsidRPr="009549EF" w:rsidRDefault="007063DF" w:rsidP="007063DF">
            <w:pPr>
              <w:pStyle w:val="BodyText"/>
              <w:rPr>
                <w:sz w:val="18"/>
                <w:szCs w:val="18"/>
              </w:rPr>
            </w:pPr>
            <w:r w:rsidRPr="009549EF">
              <w:rPr>
                <w:sz w:val="18"/>
                <w:szCs w:val="18"/>
              </w:rPr>
              <w:t>3</w:t>
            </w:r>
          </w:p>
        </w:tc>
      </w:tr>
      <w:tr w:rsidR="009549EF" w:rsidRPr="009549EF" w:rsidTr="00C30441">
        <w:trPr>
          <w:trHeight w:val="412"/>
        </w:trPr>
        <w:tc>
          <w:tcPr>
            <w:tcW w:w="5240" w:type="dxa"/>
            <w:shd w:val="clear" w:color="auto" w:fill="FFFFFF" w:themeFill="background1"/>
            <w:hideMark/>
          </w:tcPr>
          <w:p w:rsidR="007063DF" w:rsidRPr="009549EF" w:rsidRDefault="007063DF" w:rsidP="007063DF">
            <w:pPr>
              <w:pStyle w:val="BodyText"/>
              <w:rPr>
                <w:b/>
                <w:bCs/>
                <w:color w:val="000000"/>
                <w:sz w:val="18"/>
                <w:szCs w:val="18"/>
              </w:rPr>
            </w:pPr>
            <w:r w:rsidRPr="009549EF">
              <w:rPr>
                <w:b/>
                <w:bCs/>
                <w:color w:val="000000"/>
                <w:sz w:val="18"/>
                <w:szCs w:val="18"/>
              </w:rPr>
              <w:t>Family Court</w:t>
            </w:r>
          </w:p>
        </w:tc>
        <w:tc>
          <w:tcPr>
            <w:tcW w:w="1058" w:type="dxa"/>
            <w:shd w:val="clear" w:color="auto" w:fill="FFFFFF" w:themeFill="background1"/>
            <w:hideMark/>
          </w:tcPr>
          <w:p w:rsidR="007063DF" w:rsidRPr="009549EF" w:rsidRDefault="007063DF" w:rsidP="007063DF">
            <w:pPr>
              <w:pStyle w:val="BodyText"/>
              <w:rPr>
                <w:sz w:val="18"/>
                <w:szCs w:val="18"/>
              </w:rPr>
            </w:pPr>
            <w:r w:rsidRPr="009549EF">
              <w:rPr>
                <w:sz w:val="18"/>
                <w:szCs w:val="18"/>
              </w:rPr>
              <w:t>23</w:t>
            </w:r>
          </w:p>
        </w:tc>
        <w:tc>
          <w:tcPr>
            <w:tcW w:w="993" w:type="dxa"/>
            <w:shd w:val="clear" w:color="auto" w:fill="FFFFFF" w:themeFill="background1"/>
            <w:hideMark/>
          </w:tcPr>
          <w:p w:rsidR="007063DF" w:rsidRPr="009549EF" w:rsidRDefault="007063DF" w:rsidP="007063DF">
            <w:pPr>
              <w:pStyle w:val="BodyText"/>
              <w:rPr>
                <w:sz w:val="18"/>
                <w:szCs w:val="18"/>
              </w:rPr>
            </w:pPr>
            <w:r w:rsidRPr="009549EF">
              <w:rPr>
                <w:sz w:val="18"/>
                <w:szCs w:val="18"/>
              </w:rPr>
              <w:t>16</w:t>
            </w:r>
          </w:p>
        </w:tc>
        <w:tc>
          <w:tcPr>
            <w:tcW w:w="992" w:type="dxa"/>
            <w:shd w:val="clear" w:color="auto" w:fill="FFFFFF" w:themeFill="background1"/>
            <w:hideMark/>
          </w:tcPr>
          <w:p w:rsidR="007063DF" w:rsidRPr="009549EF" w:rsidRDefault="007063DF" w:rsidP="007063DF">
            <w:pPr>
              <w:pStyle w:val="BodyText"/>
              <w:rPr>
                <w:sz w:val="18"/>
                <w:szCs w:val="18"/>
              </w:rPr>
            </w:pPr>
            <w:r w:rsidRPr="009549EF">
              <w:rPr>
                <w:sz w:val="18"/>
                <w:szCs w:val="18"/>
              </w:rPr>
              <w:t>10</w:t>
            </w:r>
          </w:p>
        </w:tc>
        <w:tc>
          <w:tcPr>
            <w:tcW w:w="1417" w:type="dxa"/>
            <w:shd w:val="clear" w:color="auto" w:fill="FFFFFF" w:themeFill="background1"/>
            <w:hideMark/>
          </w:tcPr>
          <w:p w:rsidR="007063DF" w:rsidRPr="009549EF" w:rsidRDefault="007063DF" w:rsidP="007063DF">
            <w:pPr>
              <w:pStyle w:val="BodyText"/>
              <w:rPr>
                <w:sz w:val="18"/>
                <w:szCs w:val="18"/>
              </w:rPr>
            </w:pPr>
            <w:r w:rsidRPr="009549EF">
              <w:rPr>
                <w:sz w:val="18"/>
                <w:szCs w:val="18"/>
              </w:rPr>
              <w:t>49</w:t>
            </w:r>
          </w:p>
        </w:tc>
      </w:tr>
      <w:tr w:rsidR="009549EF" w:rsidRPr="009549EF" w:rsidTr="00C30441">
        <w:trPr>
          <w:trHeight w:val="412"/>
        </w:trPr>
        <w:tc>
          <w:tcPr>
            <w:tcW w:w="5240" w:type="dxa"/>
            <w:shd w:val="clear" w:color="auto" w:fill="FFFFFF" w:themeFill="background1"/>
            <w:hideMark/>
          </w:tcPr>
          <w:p w:rsidR="007063DF" w:rsidRPr="009549EF" w:rsidRDefault="007063DF" w:rsidP="007063DF">
            <w:pPr>
              <w:pStyle w:val="BodyText"/>
              <w:rPr>
                <w:b/>
                <w:bCs/>
                <w:color w:val="000000"/>
                <w:sz w:val="18"/>
                <w:szCs w:val="18"/>
              </w:rPr>
            </w:pPr>
            <w:r w:rsidRPr="009549EF">
              <w:rPr>
                <w:b/>
                <w:bCs/>
                <w:color w:val="000000"/>
                <w:sz w:val="18"/>
                <w:szCs w:val="18"/>
              </w:rPr>
              <w:t>Gender identity</w:t>
            </w:r>
          </w:p>
        </w:tc>
        <w:tc>
          <w:tcPr>
            <w:tcW w:w="1058" w:type="dxa"/>
            <w:shd w:val="clear" w:color="auto" w:fill="FFFFFF" w:themeFill="background1"/>
            <w:hideMark/>
          </w:tcPr>
          <w:p w:rsidR="007063DF" w:rsidRPr="009549EF" w:rsidRDefault="007063DF" w:rsidP="007063DF">
            <w:pPr>
              <w:pStyle w:val="BodyText"/>
              <w:rPr>
                <w:sz w:val="18"/>
                <w:szCs w:val="18"/>
              </w:rPr>
            </w:pPr>
            <w:r w:rsidRPr="009549EF">
              <w:rPr>
                <w:sz w:val="18"/>
                <w:szCs w:val="18"/>
              </w:rPr>
              <w:t>81</w:t>
            </w:r>
          </w:p>
        </w:tc>
        <w:tc>
          <w:tcPr>
            <w:tcW w:w="993" w:type="dxa"/>
            <w:shd w:val="clear" w:color="auto" w:fill="FFFFFF" w:themeFill="background1"/>
            <w:hideMark/>
          </w:tcPr>
          <w:p w:rsidR="007063DF" w:rsidRPr="009549EF" w:rsidRDefault="007063DF" w:rsidP="007063DF">
            <w:pPr>
              <w:pStyle w:val="BodyText"/>
              <w:rPr>
                <w:sz w:val="18"/>
                <w:szCs w:val="18"/>
              </w:rPr>
            </w:pPr>
            <w:r w:rsidRPr="009549EF">
              <w:rPr>
                <w:sz w:val="18"/>
                <w:szCs w:val="18"/>
              </w:rPr>
              <w:t>72</w:t>
            </w:r>
          </w:p>
        </w:tc>
        <w:tc>
          <w:tcPr>
            <w:tcW w:w="992" w:type="dxa"/>
            <w:shd w:val="clear" w:color="auto" w:fill="FFFFFF" w:themeFill="background1"/>
            <w:hideMark/>
          </w:tcPr>
          <w:p w:rsidR="007063DF" w:rsidRPr="009549EF" w:rsidRDefault="007063DF" w:rsidP="007063DF">
            <w:pPr>
              <w:pStyle w:val="BodyText"/>
              <w:rPr>
                <w:sz w:val="18"/>
                <w:szCs w:val="18"/>
              </w:rPr>
            </w:pPr>
            <w:r w:rsidRPr="009549EF">
              <w:rPr>
                <w:sz w:val="18"/>
                <w:szCs w:val="18"/>
              </w:rPr>
              <w:t>84</w:t>
            </w:r>
          </w:p>
        </w:tc>
        <w:tc>
          <w:tcPr>
            <w:tcW w:w="1417" w:type="dxa"/>
            <w:shd w:val="clear" w:color="auto" w:fill="FFFFFF" w:themeFill="background1"/>
            <w:hideMark/>
          </w:tcPr>
          <w:p w:rsidR="007063DF" w:rsidRPr="009549EF" w:rsidRDefault="007063DF" w:rsidP="007063DF">
            <w:pPr>
              <w:pStyle w:val="BodyText"/>
              <w:rPr>
                <w:sz w:val="18"/>
                <w:szCs w:val="18"/>
              </w:rPr>
            </w:pPr>
            <w:r w:rsidRPr="009549EF">
              <w:rPr>
                <w:sz w:val="18"/>
                <w:szCs w:val="18"/>
              </w:rPr>
              <w:t>237</w:t>
            </w:r>
          </w:p>
        </w:tc>
      </w:tr>
      <w:tr w:rsidR="009549EF" w:rsidRPr="009549EF" w:rsidTr="00C30441">
        <w:trPr>
          <w:trHeight w:val="412"/>
        </w:trPr>
        <w:tc>
          <w:tcPr>
            <w:tcW w:w="5240" w:type="dxa"/>
            <w:shd w:val="clear" w:color="auto" w:fill="FFFFFF" w:themeFill="background1"/>
            <w:hideMark/>
          </w:tcPr>
          <w:p w:rsidR="007063DF" w:rsidRPr="009549EF" w:rsidRDefault="007063DF" w:rsidP="007063DF">
            <w:pPr>
              <w:pStyle w:val="BodyText"/>
              <w:rPr>
                <w:b/>
                <w:bCs/>
                <w:color w:val="000000"/>
                <w:sz w:val="18"/>
                <w:szCs w:val="18"/>
              </w:rPr>
            </w:pPr>
            <w:r w:rsidRPr="009549EF">
              <w:rPr>
                <w:b/>
                <w:bCs/>
                <w:color w:val="000000"/>
                <w:sz w:val="18"/>
                <w:szCs w:val="18"/>
              </w:rPr>
              <w:t>Government - Federal</w:t>
            </w:r>
          </w:p>
        </w:tc>
        <w:tc>
          <w:tcPr>
            <w:tcW w:w="1058" w:type="dxa"/>
            <w:shd w:val="clear" w:color="auto" w:fill="FFFFFF" w:themeFill="background1"/>
            <w:hideMark/>
          </w:tcPr>
          <w:p w:rsidR="007063DF" w:rsidRPr="009549EF" w:rsidRDefault="007063DF" w:rsidP="007063DF">
            <w:pPr>
              <w:pStyle w:val="BodyText"/>
              <w:rPr>
                <w:sz w:val="18"/>
                <w:szCs w:val="18"/>
              </w:rPr>
            </w:pPr>
            <w:r w:rsidRPr="009549EF">
              <w:rPr>
                <w:sz w:val="18"/>
                <w:szCs w:val="18"/>
              </w:rPr>
              <w:t>58</w:t>
            </w:r>
          </w:p>
        </w:tc>
        <w:tc>
          <w:tcPr>
            <w:tcW w:w="993" w:type="dxa"/>
            <w:shd w:val="clear" w:color="auto" w:fill="FFFFFF" w:themeFill="background1"/>
            <w:hideMark/>
          </w:tcPr>
          <w:p w:rsidR="007063DF" w:rsidRPr="009549EF" w:rsidRDefault="007063DF" w:rsidP="007063DF">
            <w:pPr>
              <w:pStyle w:val="BodyText"/>
              <w:rPr>
                <w:sz w:val="18"/>
                <w:szCs w:val="18"/>
              </w:rPr>
            </w:pPr>
            <w:r w:rsidRPr="009549EF">
              <w:rPr>
                <w:sz w:val="18"/>
                <w:szCs w:val="18"/>
              </w:rPr>
              <w:t>63</w:t>
            </w:r>
          </w:p>
        </w:tc>
        <w:tc>
          <w:tcPr>
            <w:tcW w:w="992" w:type="dxa"/>
            <w:shd w:val="clear" w:color="auto" w:fill="FFFFFF" w:themeFill="background1"/>
            <w:hideMark/>
          </w:tcPr>
          <w:p w:rsidR="007063DF" w:rsidRPr="009549EF" w:rsidRDefault="007063DF" w:rsidP="007063DF">
            <w:pPr>
              <w:pStyle w:val="BodyText"/>
              <w:rPr>
                <w:sz w:val="18"/>
                <w:szCs w:val="18"/>
              </w:rPr>
            </w:pPr>
            <w:r w:rsidRPr="009549EF">
              <w:rPr>
                <w:sz w:val="18"/>
                <w:szCs w:val="18"/>
              </w:rPr>
              <w:t>56</w:t>
            </w:r>
          </w:p>
        </w:tc>
        <w:tc>
          <w:tcPr>
            <w:tcW w:w="1417" w:type="dxa"/>
            <w:shd w:val="clear" w:color="auto" w:fill="FFFFFF" w:themeFill="background1"/>
            <w:hideMark/>
          </w:tcPr>
          <w:p w:rsidR="007063DF" w:rsidRPr="009549EF" w:rsidRDefault="007063DF" w:rsidP="007063DF">
            <w:pPr>
              <w:pStyle w:val="BodyText"/>
              <w:rPr>
                <w:sz w:val="18"/>
                <w:szCs w:val="18"/>
              </w:rPr>
            </w:pPr>
            <w:r w:rsidRPr="009549EF">
              <w:rPr>
                <w:sz w:val="18"/>
                <w:szCs w:val="18"/>
              </w:rPr>
              <w:t>177</w:t>
            </w:r>
          </w:p>
        </w:tc>
      </w:tr>
      <w:tr w:rsidR="009549EF" w:rsidRPr="009549EF" w:rsidTr="00C30441">
        <w:trPr>
          <w:trHeight w:val="412"/>
        </w:trPr>
        <w:tc>
          <w:tcPr>
            <w:tcW w:w="5240" w:type="dxa"/>
            <w:shd w:val="clear" w:color="auto" w:fill="FFFFFF" w:themeFill="background1"/>
            <w:hideMark/>
          </w:tcPr>
          <w:p w:rsidR="007063DF" w:rsidRPr="009549EF" w:rsidRDefault="007063DF" w:rsidP="007063DF">
            <w:pPr>
              <w:pStyle w:val="BodyText"/>
              <w:rPr>
                <w:b/>
                <w:bCs/>
                <w:color w:val="000000"/>
                <w:sz w:val="18"/>
                <w:szCs w:val="18"/>
              </w:rPr>
            </w:pPr>
            <w:r w:rsidRPr="009549EF">
              <w:rPr>
                <w:b/>
                <w:bCs/>
                <w:color w:val="000000"/>
                <w:sz w:val="18"/>
                <w:szCs w:val="18"/>
              </w:rPr>
              <w:t>Government - Local</w:t>
            </w:r>
          </w:p>
        </w:tc>
        <w:tc>
          <w:tcPr>
            <w:tcW w:w="1058" w:type="dxa"/>
            <w:shd w:val="clear" w:color="auto" w:fill="FFFFFF" w:themeFill="background1"/>
            <w:hideMark/>
          </w:tcPr>
          <w:p w:rsidR="007063DF" w:rsidRPr="009549EF" w:rsidRDefault="007063DF" w:rsidP="007063DF">
            <w:pPr>
              <w:pStyle w:val="BodyText"/>
              <w:rPr>
                <w:sz w:val="18"/>
                <w:szCs w:val="18"/>
              </w:rPr>
            </w:pPr>
            <w:r w:rsidRPr="009549EF">
              <w:rPr>
                <w:sz w:val="18"/>
                <w:szCs w:val="18"/>
              </w:rPr>
              <w:t>18</w:t>
            </w:r>
          </w:p>
        </w:tc>
        <w:tc>
          <w:tcPr>
            <w:tcW w:w="993" w:type="dxa"/>
            <w:shd w:val="clear" w:color="auto" w:fill="FFFFFF" w:themeFill="background1"/>
            <w:hideMark/>
          </w:tcPr>
          <w:p w:rsidR="007063DF" w:rsidRPr="009549EF" w:rsidRDefault="007063DF" w:rsidP="007063DF">
            <w:pPr>
              <w:pStyle w:val="BodyText"/>
              <w:rPr>
                <w:sz w:val="18"/>
                <w:szCs w:val="18"/>
              </w:rPr>
            </w:pPr>
            <w:r w:rsidRPr="009549EF">
              <w:rPr>
                <w:sz w:val="18"/>
                <w:szCs w:val="18"/>
              </w:rPr>
              <w:t>11</w:t>
            </w:r>
          </w:p>
        </w:tc>
        <w:tc>
          <w:tcPr>
            <w:tcW w:w="992" w:type="dxa"/>
            <w:shd w:val="clear" w:color="auto" w:fill="FFFFFF" w:themeFill="background1"/>
            <w:hideMark/>
          </w:tcPr>
          <w:p w:rsidR="007063DF" w:rsidRPr="009549EF" w:rsidRDefault="007063DF" w:rsidP="007063DF">
            <w:pPr>
              <w:pStyle w:val="BodyText"/>
              <w:rPr>
                <w:sz w:val="18"/>
                <w:szCs w:val="18"/>
              </w:rPr>
            </w:pPr>
            <w:r w:rsidRPr="009549EF">
              <w:rPr>
                <w:sz w:val="18"/>
                <w:szCs w:val="18"/>
              </w:rPr>
              <w:t>7</w:t>
            </w:r>
          </w:p>
        </w:tc>
        <w:tc>
          <w:tcPr>
            <w:tcW w:w="1417" w:type="dxa"/>
            <w:shd w:val="clear" w:color="auto" w:fill="FFFFFF" w:themeFill="background1"/>
            <w:hideMark/>
          </w:tcPr>
          <w:p w:rsidR="007063DF" w:rsidRPr="009549EF" w:rsidRDefault="007063DF" w:rsidP="007063DF">
            <w:pPr>
              <w:pStyle w:val="BodyText"/>
              <w:rPr>
                <w:sz w:val="18"/>
                <w:szCs w:val="18"/>
              </w:rPr>
            </w:pPr>
            <w:r w:rsidRPr="009549EF">
              <w:rPr>
                <w:sz w:val="18"/>
                <w:szCs w:val="18"/>
              </w:rPr>
              <w:t>36</w:t>
            </w:r>
          </w:p>
        </w:tc>
      </w:tr>
      <w:tr w:rsidR="009549EF" w:rsidRPr="009549EF" w:rsidTr="00C30441">
        <w:trPr>
          <w:trHeight w:val="412"/>
        </w:trPr>
        <w:tc>
          <w:tcPr>
            <w:tcW w:w="5240" w:type="dxa"/>
            <w:shd w:val="clear" w:color="auto" w:fill="FFFFFF" w:themeFill="background1"/>
            <w:hideMark/>
          </w:tcPr>
          <w:p w:rsidR="007063DF" w:rsidRPr="009549EF" w:rsidRDefault="007063DF" w:rsidP="007063DF">
            <w:pPr>
              <w:pStyle w:val="BodyText"/>
              <w:rPr>
                <w:b/>
                <w:bCs/>
                <w:color w:val="000000"/>
                <w:sz w:val="18"/>
                <w:szCs w:val="18"/>
              </w:rPr>
            </w:pPr>
            <w:r w:rsidRPr="009549EF">
              <w:rPr>
                <w:b/>
                <w:bCs/>
                <w:color w:val="000000"/>
                <w:sz w:val="18"/>
                <w:szCs w:val="18"/>
              </w:rPr>
              <w:t>Government - State</w:t>
            </w:r>
          </w:p>
        </w:tc>
        <w:tc>
          <w:tcPr>
            <w:tcW w:w="1058" w:type="dxa"/>
            <w:shd w:val="clear" w:color="auto" w:fill="FFFFFF" w:themeFill="background1"/>
            <w:hideMark/>
          </w:tcPr>
          <w:p w:rsidR="007063DF" w:rsidRPr="009549EF" w:rsidRDefault="007063DF" w:rsidP="007063DF">
            <w:pPr>
              <w:pStyle w:val="BodyText"/>
              <w:rPr>
                <w:sz w:val="18"/>
                <w:szCs w:val="18"/>
              </w:rPr>
            </w:pPr>
            <w:r w:rsidRPr="009549EF">
              <w:rPr>
                <w:sz w:val="18"/>
                <w:szCs w:val="18"/>
              </w:rPr>
              <w:t>29</w:t>
            </w:r>
          </w:p>
        </w:tc>
        <w:tc>
          <w:tcPr>
            <w:tcW w:w="993" w:type="dxa"/>
            <w:shd w:val="clear" w:color="auto" w:fill="FFFFFF" w:themeFill="background1"/>
            <w:hideMark/>
          </w:tcPr>
          <w:p w:rsidR="007063DF" w:rsidRPr="009549EF" w:rsidRDefault="007063DF" w:rsidP="007063DF">
            <w:pPr>
              <w:pStyle w:val="BodyText"/>
              <w:rPr>
                <w:sz w:val="18"/>
                <w:szCs w:val="18"/>
              </w:rPr>
            </w:pPr>
            <w:r w:rsidRPr="009549EF">
              <w:rPr>
                <w:sz w:val="18"/>
                <w:szCs w:val="18"/>
              </w:rPr>
              <w:t>12</w:t>
            </w:r>
          </w:p>
        </w:tc>
        <w:tc>
          <w:tcPr>
            <w:tcW w:w="992" w:type="dxa"/>
            <w:shd w:val="clear" w:color="auto" w:fill="FFFFFF" w:themeFill="background1"/>
            <w:hideMark/>
          </w:tcPr>
          <w:p w:rsidR="007063DF" w:rsidRPr="009549EF" w:rsidRDefault="007063DF" w:rsidP="007063DF">
            <w:pPr>
              <w:pStyle w:val="BodyText"/>
              <w:rPr>
                <w:sz w:val="18"/>
                <w:szCs w:val="18"/>
              </w:rPr>
            </w:pPr>
            <w:r w:rsidRPr="009549EF">
              <w:rPr>
                <w:sz w:val="18"/>
                <w:szCs w:val="18"/>
              </w:rPr>
              <w:t>12</w:t>
            </w:r>
          </w:p>
        </w:tc>
        <w:tc>
          <w:tcPr>
            <w:tcW w:w="1417" w:type="dxa"/>
            <w:shd w:val="clear" w:color="auto" w:fill="FFFFFF" w:themeFill="background1"/>
            <w:hideMark/>
          </w:tcPr>
          <w:p w:rsidR="007063DF" w:rsidRPr="009549EF" w:rsidRDefault="007063DF" w:rsidP="007063DF">
            <w:pPr>
              <w:pStyle w:val="BodyText"/>
              <w:rPr>
                <w:sz w:val="18"/>
                <w:szCs w:val="18"/>
              </w:rPr>
            </w:pPr>
            <w:r w:rsidRPr="009549EF">
              <w:rPr>
                <w:sz w:val="18"/>
                <w:szCs w:val="18"/>
              </w:rPr>
              <w:t>53</w:t>
            </w:r>
          </w:p>
        </w:tc>
      </w:tr>
      <w:tr w:rsidR="009549EF" w:rsidRPr="009549EF" w:rsidTr="00C30441">
        <w:trPr>
          <w:trHeight w:val="412"/>
        </w:trPr>
        <w:tc>
          <w:tcPr>
            <w:tcW w:w="5240" w:type="dxa"/>
            <w:shd w:val="clear" w:color="auto" w:fill="FFFFFF" w:themeFill="background1"/>
            <w:hideMark/>
          </w:tcPr>
          <w:p w:rsidR="007063DF" w:rsidRPr="009549EF" w:rsidRDefault="007063DF" w:rsidP="007063DF">
            <w:pPr>
              <w:pStyle w:val="BodyText"/>
              <w:rPr>
                <w:b/>
                <w:bCs/>
                <w:color w:val="000000"/>
                <w:sz w:val="18"/>
                <w:szCs w:val="18"/>
              </w:rPr>
            </w:pPr>
            <w:r w:rsidRPr="009549EF">
              <w:rPr>
                <w:b/>
                <w:bCs/>
                <w:color w:val="000000"/>
                <w:sz w:val="18"/>
                <w:szCs w:val="18"/>
              </w:rPr>
              <w:t>Homelessness</w:t>
            </w:r>
          </w:p>
        </w:tc>
        <w:tc>
          <w:tcPr>
            <w:tcW w:w="1058" w:type="dxa"/>
            <w:shd w:val="clear" w:color="auto" w:fill="FFFFFF" w:themeFill="background1"/>
            <w:hideMark/>
          </w:tcPr>
          <w:p w:rsidR="007063DF" w:rsidRPr="009549EF" w:rsidRDefault="007063DF" w:rsidP="007063DF">
            <w:pPr>
              <w:pStyle w:val="BodyText"/>
              <w:rPr>
                <w:sz w:val="18"/>
                <w:szCs w:val="18"/>
              </w:rPr>
            </w:pPr>
            <w:r w:rsidRPr="009549EF">
              <w:rPr>
                <w:sz w:val="18"/>
                <w:szCs w:val="18"/>
              </w:rPr>
              <w:t>12</w:t>
            </w:r>
          </w:p>
        </w:tc>
        <w:tc>
          <w:tcPr>
            <w:tcW w:w="993" w:type="dxa"/>
            <w:shd w:val="clear" w:color="auto" w:fill="FFFFFF" w:themeFill="background1"/>
            <w:hideMark/>
          </w:tcPr>
          <w:p w:rsidR="007063DF" w:rsidRPr="009549EF" w:rsidRDefault="007063DF" w:rsidP="007063DF">
            <w:pPr>
              <w:pStyle w:val="BodyText"/>
              <w:rPr>
                <w:sz w:val="18"/>
                <w:szCs w:val="18"/>
              </w:rPr>
            </w:pPr>
            <w:r w:rsidRPr="009549EF">
              <w:rPr>
                <w:sz w:val="18"/>
                <w:szCs w:val="18"/>
              </w:rPr>
              <w:t>8</w:t>
            </w:r>
          </w:p>
        </w:tc>
        <w:tc>
          <w:tcPr>
            <w:tcW w:w="992" w:type="dxa"/>
            <w:shd w:val="clear" w:color="auto" w:fill="FFFFFF" w:themeFill="background1"/>
            <w:hideMark/>
          </w:tcPr>
          <w:p w:rsidR="007063DF" w:rsidRPr="009549EF" w:rsidRDefault="007063DF" w:rsidP="007063DF">
            <w:pPr>
              <w:pStyle w:val="BodyText"/>
              <w:rPr>
                <w:sz w:val="18"/>
                <w:szCs w:val="18"/>
              </w:rPr>
            </w:pPr>
            <w:r w:rsidRPr="009549EF">
              <w:rPr>
                <w:sz w:val="18"/>
                <w:szCs w:val="18"/>
              </w:rPr>
              <w:t>4</w:t>
            </w:r>
          </w:p>
        </w:tc>
        <w:tc>
          <w:tcPr>
            <w:tcW w:w="1417" w:type="dxa"/>
            <w:shd w:val="clear" w:color="auto" w:fill="FFFFFF" w:themeFill="background1"/>
            <w:hideMark/>
          </w:tcPr>
          <w:p w:rsidR="007063DF" w:rsidRPr="009549EF" w:rsidRDefault="007063DF" w:rsidP="007063DF">
            <w:pPr>
              <w:pStyle w:val="BodyText"/>
              <w:rPr>
                <w:sz w:val="18"/>
                <w:szCs w:val="18"/>
              </w:rPr>
            </w:pPr>
            <w:r w:rsidRPr="009549EF">
              <w:rPr>
                <w:sz w:val="18"/>
                <w:szCs w:val="18"/>
              </w:rPr>
              <w:t>24</w:t>
            </w:r>
          </w:p>
        </w:tc>
      </w:tr>
      <w:tr w:rsidR="009549EF" w:rsidRPr="009549EF" w:rsidTr="00C30441">
        <w:trPr>
          <w:trHeight w:val="412"/>
        </w:trPr>
        <w:tc>
          <w:tcPr>
            <w:tcW w:w="5240" w:type="dxa"/>
            <w:shd w:val="clear" w:color="auto" w:fill="FFFFFF" w:themeFill="background1"/>
            <w:hideMark/>
          </w:tcPr>
          <w:p w:rsidR="007063DF" w:rsidRPr="009549EF" w:rsidRDefault="007063DF" w:rsidP="007063DF">
            <w:pPr>
              <w:pStyle w:val="BodyText"/>
              <w:rPr>
                <w:b/>
                <w:bCs/>
                <w:color w:val="000000"/>
                <w:sz w:val="18"/>
                <w:szCs w:val="18"/>
              </w:rPr>
            </w:pPr>
            <w:r w:rsidRPr="009549EF">
              <w:rPr>
                <w:b/>
                <w:bCs/>
                <w:color w:val="000000"/>
                <w:sz w:val="18"/>
                <w:szCs w:val="18"/>
              </w:rPr>
              <w:t>Indigenous</w:t>
            </w:r>
          </w:p>
        </w:tc>
        <w:tc>
          <w:tcPr>
            <w:tcW w:w="1058" w:type="dxa"/>
            <w:shd w:val="clear" w:color="auto" w:fill="FFFFFF" w:themeFill="background1"/>
            <w:hideMark/>
          </w:tcPr>
          <w:p w:rsidR="007063DF" w:rsidRPr="009549EF" w:rsidRDefault="007063DF" w:rsidP="007063DF">
            <w:pPr>
              <w:pStyle w:val="BodyText"/>
              <w:rPr>
                <w:sz w:val="18"/>
                <w:szCs w:val="18"/>
              </w:rPr>
            </w:pPr>
            <w:r w:rsidRPr="009549EF">
              <w:rPr>
                <w:sz w:val="18"/>
                <w:szCs w:val="18"/>
              </w:rPr>
              <w:t>15</w:t>
            </w:r>
          </w:p>
        </w:tc>
        <w:tc>
          <w:tcPr>
            <w:tcW w:w="993" w:type="dxa"/>
            <w:shd w:val="clear" w:color="auto" w:fill="FFFFFF" w:themeFill="background1"/>
            <w:hideMark/>
          </w:tcPr>
          <w:p w:rsidR="007063DF" w:rsidRPr="009549EF" w:rsidRDefault="007063DF" w:rsidP="007063DF">
            <w:pPr>
              <w:pStyle w:val="BodyText"/>
              <w:rPr>
                <w:sz w:val="18"/>
                <w:szCs w:val="18"/>
              </w:rPr>
            </w:pPr>
            <w:r w:rsidRPr="009549EF">
              <w:rPr>
                <w:sz w:val="18"/>
                <w:szCs w:val="18"/>
              </w:rPr>
              <w:t>9</w:t>
            </w:r>
          </w:p>
        </w:tc>
        <w:tc>
          <w:tcPr>
            <w:tcW w:w="992" w:type="dxa"/>
            <w:shd w:val="clear" w:color="auto" w:fill="FFFFFF" w:themeFill="background1"/>
            <w:hideMark/>
          </w:tcPr>
          <w:p w:rsidR="007063DF" w:rsidRPr="009549EF" w:rsidRDefault="007063DF" w:rsidP="007063DF">
            <w:pPr>
              <w:pStyle w:val="BodyText"/>
              <w:rPr>
                <w:sz w:val="18"/>
                <w:szCs w:val="18"/>
              </w:rPr>
            </w:pPr>
            <w:r w:rsidRPr="009549EF">
              <w:rPr>
                <w:sz w:val="18"/>
                <w:szCs w:val="18"/>
              </w:rPr>
              <w:t>3</w:t>
            </w:r>
          </w:p>
        </w:tc>
        <w:tc>
          <w:tcPr>
            <w:tcW w:w="1417" w:type="dxa"/>
            <w:shd w:val="clear" w:color="auto" w:fill="FFFFFF" w:themeFill="background1"/>
            <w:hideMark/>
          </w:tcPr>
          <w:p w:rsidR="007063DF" w:rsidRPr="009549EF" w:rsidRDefault="007063DF" w:rsidP="007063DF">
            <w:pPr>
              <w:pStyle w:val="BodyText"/>
              <w:rPr>
                <w:sz w:val="18"/>
                <w:szCs w:val="18"/>
              </w:rPr>
            </w:pPr>
            <w:r w:rsidRPr="009549EF">
              <w:rPr>
                <w:sz w:val="18"/>
                <w:szCs w:val="18"/>
              </w:rPr>
              <w:t>27</w:t>
            </w:r>
          </w:p>
        </w:tc>
      </w:tr>
      <w:tr w:rsidR="009549EF" w:rsidRPr="009549EF" w:rsidTr="00C30441">
        <w:trPr>
          <w:trHeight w:val="412"/>
        </w:trPr>
        <w:tc>
          <w:tcPr>
            <w:tcW w:w="5240" w:type="dxa"/>
            <w:shd w:val="clear" w:color="auto" w:fill="FFFFFF" w:themeFill="background1"/>
            <w:hideMark/>
          </w:tcPr>
          <w:p w:rsidR="007063DF" w:rsidRPr="009549EF" w:rsidRDefault="007063DF" w:rsidP="007063DF">
            <w:pPr>
              <w:pStyle w:val="BodyText"/>
              <w:rPr>
                <w:b/>
                <w:bCs/>
                <w:color w:val="000000"/>
                <w:sz w:val="18"/>
                <w:szCs w:val="18"/>
              </w:rPr>
            </w:pPr>
            <w:r w:rsidRPr="009549EF">
              <w:rPr>
                <w:b/>
                <w:bCs/>
                <w:color w:val="000000"/>
                <w:sz w:val="18"/>
                <w:szCs w:val="18"/>
              </w:rPr>
              <w:t>Industrial activity</w:t>
            </w:r>
          </w:p>
        </w:tc>
        <w:tc>
          <w:tcPr>
            <w:tcW w:w="1058" w:type="dxa"/>
            <w:shd w:val="clear" w:color="auto" w:fill="FFFFFF" w:themeFill="background1"/>
            <w:hideMark/>
          </w:tcPr>
          <w:p w:rsidR="007063DF" w:rsidRPr="009549EF" w:rsidRDefault="007063DF" w:rsidP="007063DF">
            <w:pPr>
              <w:pStyle w:val="BodyText"/>
              <w:rPr>
                <w:sz w:val="18"/>
                <w:szCs w:val="18"/>
              </w:rPr>
            </w:pPr>
            <w:r w:rsidRPr="009549EF">
              <w:rPr>
                <w:sz w:val="18"/>
                <w:szCs w:val="18"/>
              </w:rPr>
              <w:t>50</w:t>
            </w:r>
          </w:p>
        </w:tc>
        <w:tc>
          <w:tcPr>
            <w:tcW w:w="993" w:type="dxa"/>
            <w:shd w:val="clear" w:color="auto" w:fill="FFFFFF" w:themeFill="background1"/>
            <w:hideMark/>
          </w:tcPr>
          <w:p w:rsidR="007063DF" w:rsidRPr="009549EF" w:rsidRDefault="007063DF" w:rsidP="007063DF">
            <w:pPr>
              <w:pStyle w:val="BodyText"/>
              <w:rPr>
                <w:sz w:val="18"/>
                <w:szCs w:val="18"/>
              </w:rPr>
            </w:pPr>
            <w:r w:rsidRPr="009549EF">
              <w:rPr>
                <w:sz w:val="18"/>
                <w:szCs w:val="18"/>
              </w:rPr>
              <w:t>37</w:t>
            </w:r>
          </w:p>
        </w:tc>
        <w:tc>
          <w:tcPr>
            <w:tcW w:w="992" w:type="dxa"/>
            <w:shd w:val="clear" w:color="auto" w:fill="FFFFFF" w:themeFill="background1"/>
            <w:hideMark/>
          </w:tcPr>
          <w:p w:rsidR="007063DF" w:rsidRPr="009549EF" w:rsidRDefault="007063DF" w:rsidP="007063DF">
            <w:pPr>
              <w:pStyle w:val="BodyText"/>
              <w:rPr>
                <w:sz w:val="18"/>
                <w:szCs w:val="18"/>
              </w:rPr>
            </w:pPr>
            <w:r w:rsidRPr="009549EF">
              <w:rPr>
                <w:sz w:val="18"/>
                <w:szCs w:val="18"/>
              </w:rPr>
              <w:t>24</w:t>
            </w:r>
          </w:p>
        </w:tc>
        <w:tc>
          <w:tcPr>
            <w:tcW w:w="1417" w:type="dxa"/>
            <w:shd w:val="clear" w:color="auto" w:fill="FFFFFF" w:themeFill="background1"/>
            <w:hideMark/>
          </w:tcPr>
          <w:p w:rsidR="007063DF" w:rsidRPr="009549EF" w:rsidRDefault="007063DF" w:rsidP="007063DF">
            <w:pPr>
              <w:pStyle w:val="BodyText"/>
              <w:rPr>
                <w:sz w:val="18"/>
                <w:szCs w:val="18"/>
              </w:rPr>
            </w:pPr>
            <w:r w:rsidRPr="009549EF">
              <w:rPr>
                <w:sz w:val="18"/>
                <w:szCs w:val="18"/>
              </w:rPr>
              <w:t>111</w:t>
            </w:r>
          </w:p>
        </w:tc>
      </w:tr>
      <w:tr w:rsidR="009549EF" w:rsidRPr="009549EF" w:rsidTr="00C30441">
        <w:trPr>
          <w:trHeight w:val="412"/>
        </w:trPr>
        <w:tc>
          <w:tcPr>
            <w:tcW w:w="5240" w:type="dxa"/>
            <w:shd w:val="clear" w:color="auto" w:fill="FFFFFF" w:themeFill="background1"/>
            <w:hideMark/>
          </w:tcPr>
          <w:p w:rsidR="007063DF" w:rsidRPr="009549EF" w:rsidRDefault="007063DF" w:rsidP="007063DF">
            <w:pPr>
              <w:pStyle w:val="BodyText"/>
              <w:rPr>
                <w:b/>
                <w:bCs/>
                <w:color w:val="000000"/>
                <w:sz w:val="18"/>
                <w:szCs w:val="18"/>
              </w:rPr>
            </w:pPr>
            <w:r w:rsidRPr="009549EF">
              <w:rPr>
                <w:b/>
                <w:bCs/>
                <w:color w:val="000000"/>
                <w:sz w:val="18"/>
                <w:szCs w:val="18"/>
              </w:rPr>
              <w:t>Information provided</w:t>
            </w:r>
          </w:p>
        </w:tc>
        <w:tc>
          <w:tcPr>
            <w:tcW w:w="1058" w:type="dxa"/>
            <w:shd w:val="clear" w:color="auto" w:fill="FFFFFF" w:themeFill="background1"/>
            <w:hideMark/>
          </w:tcPr>
          <w:p w:rsidR="007063DF" w:rsidRPr="009549EF" w:rsidRDefault="007063DF" w:rsidP="007063DF">
            <w:pPr>
              <w:pStyle w:val="BodyText"/>
              <w:rPr>
                <w:sz w:val="18"/>
                <w:szCs w:val="18"/>
              </w:rPr>
            </w:pPr>
            <w:r w:rsidRPr="009549EF">
              <w:rPr>
                <w:sz w:val="18"/>
                <w:szCs w:val="18"/>
              </w:rPr>
              <w:t>1308</w:t>
            </w:r>
          </w:p>
        </w:tc>
        <w:tc>
          <w:tcPr>
            <w:tcW w:w="993" w:type="dxa"/>
            <w:shd w:val="clear" w:color="auto" w:fill="FFFFFF" w:themeFill="background1"/>
            <w:hideMark/>
          </w:tcPr>
          <w:p w:rsidR="007063DF" w:rsidRPr="009549EF" w:rsidRDefault="007063DF" w:rsidP="007063DF">
            <w:pPr>
              <w:pStyle w:val="BodyText"/>
              <w:rPr>
                <w:sz w:val="18"/>
                <w:szCs w:val="18"/>
              </w:rPr>
            </w:pPr>
            <w:r w:rsidRPr="009549EF">
              <w:rPr>
                <w:sz w:val="18"/>
                <w:szCs w:val="18"/>
              </w:rPr>
              <w:t>1240</w:t>
            </w:r>
          </w:p>
        </w:tc>
        <w:tc>
          <w:tcPr>
            <w:tcW w:w="992" w:type="dxa"/>
            <w:shd w:val="clear" w:color="auto" w:fill="FFFFFF" w:themeFill="background1"/>
            <w:hideMark/>
          </w:tcPr>
          <w:p w:rsidR="007063DF" w:rsidRPr="009549EF" w:rsidRDefault="007063DF" w:rsidP="007063DF">
            <w:pPr>
              <w:pStyle w:val="BodyText"/>
              <w:rPr>
                <w:sz w:val="18"/>
                <w:szCs w:val="18"/>
              </w:rPr>
            </w:pPr>
            <w:r w:rsidRPr="009549EF">
              <w:rPr>
                <w:sz w:val="18"/>
                <w:szCs w:val="18"/>
              </w:rPr>
              <w:t>1177</w:t>
            </w:r>
          </w:p>
        </w:tc>
        <w:tc>
          <w:tcPr>
            <w:tcW w:w="1417" w:type="dxa"/>
            <w:shd w:val="clear" w:color="auto" w:fill="FFFFFF" w:themeFill="background1"/>
            <w:hideMark/>
          </w:tcPr>
          <w:p w:rsidR="007063DF" w:rsidRPr="009549EF" w:rsidRDefault="007063DF" w:rsidP="007063DF">
            <w:pPr>
              <w:pStyle w:val="BodyText"/>
              <w:rPr>
                <w:sz w:val="18"/>
                <w:szCs w:val="18"/>
              </w:rPr>
            </w:pPr>
            <w:r w:rsidRPr="009549EF">
              <w:rPr>
                <w:sz w:val="18"/>
                <w:szCs w:val="18"/>
              </w:rPr>
              <w:t>3725</w:t>
            </w:r>
          </w:p>
        </w:tc>
      </w:tr>
      <w:tr w:rsidR="009549EF" w:rsidRPr="009549EF" w:rsidTr="00C30441">
        <w:trPr>
          <w:trHeight w:val="412"/>
        </w:trPr>
        <w:tc>
          <w:tcPr>
            <w:tcW w:w="5240" w:type="dxa"/>
            <w:shd w:val="clear" w:color="auto" w:fill="FFFFFF" w:themeFill="background1"/>
            <w:hideMark/>
          </w:tcPr>
          <w:p w:rsidR="007063DF" w:rsidRPr="009549EF" w:rsidRDefault="007063DF" w:rsidP="007063DF">
            <w:pPr>
              <w:pStyle w:val="BodyText"/>
              <w:rPr>
                <w:b/>
                <w:bCs/>
                <w:color w:val="000000"/>
                <w:sz w:val="18"/>
                <w:szCs w:val="18"/>
              </w:rPr>
            </w:pPr>
            <w:r w:rsidRPr="009549EF">
              <w:rPr>
                <w:b/>
                <w:bCs/>
                <w:color w:val="000000"/>
                <w:sz w:val="18"/>
                <w:szCs w:val="18"/>
              </w:rPr>
              <w:t>Involuntary patient</w:t>
            </w:r>
          </w:p>
        </w:tc>
        <w:tc>
          <w:tcPr>
            <w:tcW w:w="1058" w:type="dxa"/>
            <w:shd w:val="clear" w:color="auto" w:fill="FFFFFF" w:themeFill="background1"/>
            <w:hideMark/>
          </w:tcPr>
          <w:p w:rsidR="007063DF" w:rsidRPr="009549EF" w:rsidRDefault="007063DF" w:rsidP="007063DF">
            <w:pPr>
              <w:pStyle w:val="BodyText"/>
              <w:rPr>
                <w:sz w:val="18"/>
                <w:szCs w:val="18"/>
              </w:rPr>
            </w:pPr>
            <w:r w:rsidRPr="009549EF">
              <w:rPr>
                <w:sz w:val="18"/>
                <w:szCs w:val="18"/>
              </w:rPr>
              <w:t>34</w:t>
            </w:r>
          </w:p>
        </w:tc>
        <w:tc>
          <w:tcPr>
            <w:tcW w:w="993" w:type="dxa"/>
            <w:shd w:val="clear" w:color="auto" w:fill="FFFFFF" w:themeFill="background1"/>
            <w:hideMark/>
          </w:tcPr>
          <w:p w:rsidR="007063DF" w:rsidRPr="009549EF" w:rsidRDefault="007063DF" w:rsidP="007063DF">
            <w:pPr>
              <w:pStyle w:val="BodyText"/>
              <w:rPr>
                <w:sz w:val="18"/>
                <w:szCs w:val="18"/>
              </w:rPr>
            </w:pPr>
            <w:r w:rsidRPr="009549EF">
              <w:rPr>
                <w:sz w:val="18"/>
                <w:szCs w:val="18"/>
              </w:rPr>
              <w:t>21</w:t>
            </w:r>
          </w:p>
        </w:tc>
        <w:tc>
          <w:tcPr>
            <w:tcW w:w="992" w:type="dxa"/>
            <w:shd w:val="clear" w:color="auto" w:fill="FFFFFF" w:themeFill="background1"/>
            <w:hideMark/>
          </w:tcPr>
          <w:p w:rsidR="007063DF" w:rsidRPr="009549EF" w:rsidRDefault="007063DF" w:rsidP="007063DF">
            <w:pPr>
              <w:pStyle w:val="BodyText"/>
              <w:rPr>
                <w:sz w:val="18"/>
                <w:szCs w:val="18"/>
              </w:rPr>
            </w:pPr>
            <w:r w:rsidRPr="009549EF">
              <w:rPr>
                <w:sz w:val="18"/>
                <w:szCs w:val="18"/>
              </w:rPr>
              <w:t>19</w:t>
            </w:r>
          </w:p>
        </w:tc>
        <w:tc>
          <w:tcPr>
            <w:tcW w:w="1417" w:type="dxa"/>
            <w:shd w:val="clear" w:color="auto" w:fill="FFFFFF" w:themeFill="background1"/>
            <w:hideMark/>
          </w:tcPr>
          <w:p w:rsidR="007063DF" w:rsidRPr="009549EF" w:rsidRDefault="007063DF" w:rsidP="007063DF">
            <w:pPr>
              <w:pStyle w:val="BodyText"/>
              <w:rPr>
                <w:sz w:val="18"/>
                <w:szCs w:val="18"/>
              </w:rPr>
            </w:pPr>
            <w:r w:rsidRPr="009549EF">
              <w:rPr>
                <w:sz w:val="18"/>
                <w:szCs w:val="18"/>
              </w:rPr>
              <w:t>74</w:t>
            </w:r>
          </w:p>
        </w:tc>
      </w:tr>
      <w:tr w:rsidR="009549EF" w:rsidRPr="009549EF" w:rsidTr="00C30441">
        <w:trPr>
          <w:trHeight w:val="412"/>
        </w:trPr>
        <w:tc>
          <w:tcPr>
            <w:tcW w:w="5240" w:type="dxa"/>
            <w:shd w:val="clear" w:color="auto" w:fill="FFFFFF" w:themeFill="background1"/>
            <w:hideMark/>
          </w:tcPr>
          <w:p w:rsidR="007063DF" w:rsidRPr="009549EF" w:rsidRDefault="007063DF" w:rsidP="007063DF">
            <w:pPr>
              <w:pStyle w:val="BodyText"/>
              <w:rPr>
                <w:b/>
                <w:bCs/>
                <w:color w:val="000000"/>
                <w:sz w:val="18"/>
                <w:szCs w:val="18"/>
              </w:rPr>
            </w:pPr>
            <w:r w:rsidRPr="009549EF">
              <w:rPr>
                <w:b/>
                <w:bCs/>
                <w:color w:val="000000"/>
                <w:sz w:val="18"/>
                <w:szCs w:val="18"/>
              </w:rPr>
              <w:t>Lawful sexual activity</w:t>
            </w:r>
          </w:p>
        </w:tc>
        <w:tc>
          <w:tcPr>
            <w:tcW w:w="1058" w:type="dxa"/>
            <w:shd w:val="clear" w:color="auto" w:fill="FFFFFF" w:themeFill="background1"/>
            <w:hideMark/>
          </w:tcPr>
          <w:p w:rsidR="007063DF" w:rsidRPr="009549EF" w:rsidRDefault="007063DF" w:rsidP="007063DF">
            <w:pPr>
              <w:pStyle w:val="BodyText"/>
              <w:rPr>
                <w:sz w:val="18"/>
                <w:szCs w:val="18"/>
              </w:rPr>
            </w:pPr>
            <w:r w:rsidRPr="009549EF">
              <w:rPr>
                <w:sz w:val="18"/>
                <w:szCs w:val="18"/>
              </w:rPr>
              <w:t>55</w:t>
            </w:r>
          </w:p>
        </w:tc>
        <w:tc>
          <w:tcPr>
            <w:tcW w:w="993" w:type="dxa"/>
            <w:shd w:val="clear" w:color="auto" w:fill="FFFFFF" w:themeFill="background1"/>
            <w:hideMark/>
          </w:tcPr>
          <w:p w:rsidR="007063DF" w:rsidRPr="009549EF" w:rsidRDefault="007063DF" w:rsidP="007063DF">
            <w:pPr>
              <w:pStyle w:val="BodyText"/>
              <w:rPr>
                <w:sz w:val="18"/>
                <w:szCs w:val="18"/>
              </w:rPr>
            </w:pPr>
            <w:r w:rsidRPr="009549EF">
              <w:rPr>
                <w:sz w:val="18"/>
                <w:szCs w:val="18"/>
              </w:rPr>
              <w:t>26</w:t>
            </w:r>
          </w:p>
        </w:tc>
        <w:tc>
          <w:tcPr>
            <w:tcW w:w="992" w:type="dxa"/>
            <w:shd w:val="clear" w:color="auto" w:fill="FFFFFF" w:themeFill="background1"/>
            <w:hideMark/>
          </w:tcPr>
          <w:p w:rsidR="007063DF" w:rsidRPr="009549EF" w:rsidRDefault="007063DF" w:rsidP="007063DF">
            <w:pPr>
              <w:pStyle w:val="BodyText"/>
              <w:rPr>
                <w:sz w:val="18"/>
                <w:szCs w:val="18"/>
              </w:rPr>
            </w:pPr>
            <w:r w:rsidRPr="009549EF">
              <w:rPr>
                <w:sz w:val="18"/>
                <w:szCs w:val="18"/>
              </w:rPr>
              <w:t>39</w:t>
            </w:r>
          </w:p>
        </w:tc>
        <w:tc>
          <w:tcPr>
            <w:tcW w:w="1417" w:type="dxa"/>
            <w:shd w:val="clear" w:color="auto" w:fill="FFFFFF" w:themeFill="background1"/>
            <w:hideMark/>
          </w:tcPr>
          <w:p w:rsidR="007063DF" w:rsidRPr="009549EF" w:rsidRDefault="007063DF" w:rsidP="007063DF">
            <w:pPr>
              <w:pStyle w:val="BodyText"/>
              <w:rPr>
                <w:sz w:val="18"/>
                <w:szCs w:val="18"/>
              </w:rPr>
            </w:pPr>
            <w:r w:rsidRPr="009549EF">
              <w:rPr>
                <w:sz w:val="18"/>
                <w:szCs w:val="18"/>
              </w:rPr>
              <w:t>120</w:t>
            </w:r>
          </w:p>
        </w:tc>
      </w:tr>
      <w:tr w:rsidR="009549EF" w:rsidRPr="009549EF" w:rsidTr="00C30441">
        <w:trPr>
          <w:trHeight w:val="412"/>
        </w:trPr>
        <w:tc>
          <w:tcPr>
            <w:tcW w:w="5240" w:type="dxa"/>
            <w:shd w:val="clear" w:color="auto" w:fill="FFFFFF" w:themeFill="background1"/>
            <w:hideMark/>
          </w:tcPr>
          <w:p w:rsidR="007063DF" w:rsidRPr="009549EF" w:rsidRDefault="007063DF" w:rsidP="007063DF">
            <w:pPr>
              <w:pStyle w:val="BodyText"/>
              <w:rPr>
                <w:b/>
                <w:bCs/>
                <w:color w:val="000000"/>
                <w:sz w:val="18"/>
                <w:szCs w:val="18"/>
              </w:rPr>
            </w:pPr>
            <w:r w:rsidRPr="009549EF">
              <w:rPr>
                <w:b/>
                <w:bCs/>
                <w:color w:val="000000"/>
                <w:sz w:val="18"/>
                <w:szCs w:val="18"/>
              </w:rPr>
              <w:t>Marital status</w:t>
            </w:r>
          </w:p>
        </w:tc>
        <w:tc>
          <w:tcPr>
            <w:tcW w:w="1058" w:type="dxa"/>
            <w:shd w:val="clear" w:color="auto" w:fill="FFFFFF" w:themeFill="background1"/>
            <w:hideMark/>
          </w:tcPr>
          <w:p w:rsidR="007063DF" w:rsidRPr="009549EF" w:rsidRDefault="007063DF" w:rsidP="007063DF">
            <w:pPr>
              <w:pStyle w:val="BodyText"/>
              <w:rPr>
                <w:sz w:val="18"/>
                <w:szCs w:val="18"/>
              </w:rPr>
            </w:pPr>
            <w:r w:rsidRPr="009549EF">
              <w:rPr>
                <w:sz w:val="18"/>
                <w:szCs w:val="18"/>
              </w:rPr>
              <w:t>104</w:t>
            </w:r>
          </w:p>
        </w:tc>
        <w:tc>
          <w:tcPr>
            <w:tcW w:w="993" w:type="dxa"/>
            <w:shd w:val="clear" w:color="auto" w:fill="FFFFFF" w:themeFill="background1"/>
            <w:hideMark/>
          </w:tcPr>
          <w:p w:rsidR="007063DF" w:rsidRPr="009549EF" w:rsidRDefault="007063DF" w:rsidP="007063DF">
            <w:pPr>
              <w:pStyle w:val="BodyText"/>
              <w:rPr>
                <w:sz w:val="18"/>
                <w:szCs w:val="18"/>
              </w:rPr>
            </w:pPr>
            <w:r w:rsidRPr="009549EF">
              <w:rPr>
                <w:sz w:val="18"/>
                <w:szCs w:val="18"/>
              </w:rPr>
              <w:t>78</w:t>
            </w:r>
          </w:p>
        </w:tc>
        <w:tc>
          <w:tcPr>
            <w:tcW w:w="992" w:type="dxa"/>
            <w:shd w:val="clear" w:color="auto" w:fill="FFFFFF" w:themeFill="background1"/>
            <w:hideMark/>
          </w:tcPr>
          <w:p w:rsidR="007063DF" w:rsidRPr="009549EF" w:rsidRDefault="007063DF" w:rsidP="007063DF">
            <w:pPr>
              <w:pStyle w:val="BodyText"/>
              <w:rPr>
                <w:sz w:val="18"/>
                <w:szCs w:val="18"/>
              </w:rPr>
            </w:pPr>
            <w:r w:rsidRPr="009549EF">
              <w:rPr>
                <w:sz w:val="18"/>
                <w:szCs w:val="18"/>
              </w:rPr>
              <w:t>62</w:t>
            </w:r>
          </w:p>
        </w:tc>
        <w:tc>
          <w:tcPr>
            <w:tcW w:w="1417" w:type="dxa"/>
            <w:shd w:val="clear" w:color="auto" w:fill="FFFFFF" w:themeFill="background1"/>
            <w:hideMark/>
          </w:tcPr>
          <w:p w:rsidR="007063DF" w:rsidRPr="009549EF" w:rsidRDefault="007063DF" w:rsidP="007063DF">
            <w:pPr>
              <w:pStyle w:val="BodyText"/>
              <w:rPr>
                <w:sz w:val="18"/>
                <w:szCs w:val="18"/>
              </w:rPr>
            </w:pPr>
            <w:r w:rsidRPr="009549EF">
              <w:rPr>
                <w:sz w:val="18"/>
                <w:szCs w:val="18"/>
              </w:rPr>
              <w:t>244</w:t>
            </w:r>
          </w:p>
        </w:tc>
      </w:tr>
      <w:tr w:rsidR="009549EF" w:rsidRPr="009549EF" w:rsidTr="00C30441">
        <w:trPr>
          <w:trHeight w:val="412"/>
        </w:trPr>
        <w:tc>
          <w:tcPr>
            <w:tcW w:w="5240" w:type="dxa"/>
            <w:shd w:val="clear" w:color="auto" w:fill="FFFFFF" w:themeFill="background1"/>
            <w:hideMark/>
          </w:tcPr>
          <w:p w:rsidR="007063DF" w:rsidRPr="009549EF" w:rsidRDefault="007063DF" w:rsidP="007063DF">
            <w:pPr>
              <w:pStyle w:val="BodyText"/>
              <w:rPr>
                <w:b/>
                <w:bCs/>
                <w:color w:val="000000"/>
                <w:sz w:val="18"/>
                <w:szCs w:val="18"/>
              </w:rPr>
            </w:pPr>
            <w:r w:rsidRPr="009549EF">
              <w:rPr>
                <w:b/>
                <w:bCs/>
                <w:color w:val="000000"/>
                <w:sz w:val="18"/>
                <w:szCs w:val="18"/>
              </w:rPr>
              <w:t>Media</w:t>
            </w:r>
          </w:p>
        </w:tc>
        <w:tc>
          <w:tcPr>
            <w:tcW w:w="1058" w:type="dxa"/>
            <w:shd w:val="clear" w:color="auto" w:fill="FFFFFF" w:themeFill="background1"/>
            <w:hideMark/>
          </w:tcPr>
          <w:p w:rsidR="007063DF" w:rsidRPr="009549EF" w:rsidRDefault="007063DF" w:rsidP="007063DF">
            <w:pPr>
              <w:pStyle w:val="BodyText"/>
              <w:rPr>
                <w:sz w:val="18"/>
                <w:szCs w:val="18"/>
              </w:rPr>
            </w:pPr>
            <w:r w:rsidRPr="009549EF">
              <w:rPr>
                <w:sz w:val="18"/>
                <w:szCs w:val="18"/>
              </w:rPr>
              <w:t>12</w:t>
            </w:r>
          </w:p>
        </w:tc>
        <w:tc>
          <w:tcPr>
            <w:tcW w:w="993" w:type="dxa"/>
            <w:shd w:val="clear" w:color="auto" w:fill="FFFFFF" w:themeFill="background1"/>
            <w:hideMark/>
          </w:tcPr>
          <w:p w:rsidR="007063DF" w:rsidRPr="009549EF" w:rsidRDefault="007063DF" w:rsidP="007063DF">
            <w:pPr>
              <w:pStyle w:val="BodyText"/>
              <w:rPr>
                <w:sz w:val="18"/>
                <w:szCs w:val="18"/>
              </w:rPr>
            </w:pPr>
            <w:r w:rsidRPr="009549EF">
              <w:rPr>
                <w:sz w:val="18"/>
                <w:szCs w:val="18"/>
              </w:rPr>
              <w:t>8</w:t>
            </w:r>
          </w:p>
        </w:tc>
        <w:tc>
          <w:tcPr>
            <w:tcW w:w="992" w:type="dxa"/>
            <w:shd w:val="clear" w:color="auto" w:fill="FFFFFF" w:themeFill="background1"/>
            <w:hideMark/>
          </w:tcPr>
          <w:p w:rsidR="007063DF" w:rsidRPr="009549EF" w:rsidRDefault="007063DF" w:rsidP="007063DF">
            <w:pPr>
              <w:pStyle w:val="BodyText"/>
              <w:rPr>
                <w:sz w:val="18"/>
                <w:szCs w:val="18"/>
              </w:rPr>
            </w:pPr>
            <w:r w:rsidRPr="009549EF">
              <w:rPr>
                <w:sz w:val="18"/>
                <w:szCs w:val="18"/>
              </w:rPr>
              <w:t>5</w:t>
            </w:r>
          </w:p>
        </w:tc>
        <w:tc>
          <w:tcPr>
            <w:tcW w:w="1417" w:type="dxa"/>
            <w:shd w:val="clear" w:color="auto" w:fill="FFFFFF" w:themeFill="background1"/>
            <w:hideMark/>
          </w:tcPr>
          <w:p w:rsidR="007063DF" w:rsidRPr="009549EF" w:rsidRDefault="007063DF" w:rsidP="007063DF">
            <w:pPr>
              <w:pStyle w:val="BodyText"/>
              <w:rPr>
                <w:sz w:val="18"/>
                <w:szCs w:val="18"/>
              </w:rPr>
            </w:pPr>
            <w:r w:rsidRPr="009549EF">
              <w:rPr>
                <w:sz w:val="18"/>
                <w:szCs w:val="18"/>
              </w:rPr>
              <w:t>25</w:t>
            </w:r>
          </w:p>
        </w:tc>
      </w:tr>
      <w:tr w:rsidR="009549EF" w:rsidRPr="009549EF" w:rsidTr="00C30441">
        <w:trPr>
          <w:trHeight w:val="412"/>
        </w:trPr>
        <w:tc>
          <w:tcPr>
            <w:tcW w:w="5240" w:type="dxa"/>
            <w:shd w:val="clear" w:color="auto" w:fill="FFFFFF" w:themeFill="background1"/>
            <w:hideMark/>
          </w:tcPr>
          <w:p w:rsidR="007063DF" w:rsidRPr="009549EF" w:rsidRDefault="007063DF" w:rsidP="007063DF">
            <w:pPr>
              <w:pStyle w:val="BodyText"/>
              <w:rPr>
                <w:b/>
                <w:bCs/>
                <w:color w:val="000000"/>
                <w:sz w:val="18"/>
                <w:szCs w:val="18"/>
              </w:rPr>
            </w:pPr>
            <w:r w:rsidRPr="009549EF">
              <w:rPr>
                <w:b/>
                <w:bCs/>
                <w:color w:val="000000"/>
                <w:sz w:val="18"/>
                <w:szCs w:val="18"/>
              </w:rPr>
              <w:t>No jurisdiction</w:t>
            </w:r>
          </w:p>
        </w:tc>
        <w:tc>
          <w:tcPr>
            <w:tcW w:w="1058" w:type="dxa"/>
            <w:shd w:val="clear" w:color="auto" w:fill="FFFFFF" w:themeFill="background1"/>
            <w:hideMark/>
          </w:tcPr>
          <w:p w:rsidR="007063DF" w:rsidRPr="009549EF" w:rsidRDefault="007063DF" w:rsidP="007063DF">
            <w:pPr>
              <w:pStyle w:val="BodyText"/>
              <w:rPr>
                <w:sz w:val="18"/>
                <w:szCs w:val="18"/>
              </w:rPr>
            </w:pPr>
            <w:r w:rsidRPr="009549EF">
              <w:rPr>
                <w:sz w:val="18"/>
                <w:szCs w:val="18"/>
              </w:rPr>
              <w:t>1483</w:t>
            </w:r>
          </w:p>
        </w:tc>
        <w:tc>
          <w:tcPr>
            <w:tcW w:w="993" w:type="dxa"/>
            <w:shd w:val="clear" w:color="auto" w:fill="FFFFFF" w:themeFill="background1"/>
            <w:hideMark/>
          </w:tcPr>
          <w:p w:rsidR="007063DF" w:rsidRPr="009549EF" w:rsidRDefault="007063DF" w:rsidP="007063DF">
            <w:pPr>
              <w:pStyle w:val="BodyText"/>
              <w:rPr>
                <w:sz w:val="18"/>
                <w:szCs w:val="18"/>
              </w:rPr>
            </w:pPr>
            <w:r w:rsidRPr="009549EF">
              <w:rPr>
                <w:sz w:val="18"/>
                <w:szCs w:val="18"/>
              </w:rPr>
              <w:t>1716</w:t>
            </w:r>
          </w:p>
        </w:tc>
        <w:tc>
          <w:tcPr>
            <w:tcW w:w="992" w:type="dxa"/>
            <w:shd w:val="clear" w:color="auto" w:fill="FFFFFF" w:themeFill="background1"/>
            <w:hideMark/>
          </w:tcPr>
          <w:p w:rsidR="007063DF" w:rsidRPr="009549EF" w:rsidRDefault="007063DF" w:rsidP="007063DF">
            <w:pPr>
              <w:pStyle w:val="BodyText"/>
              <w:rPr>
                <w:sz w:val="18"/>
                <w:szCs w:val="18"/>
              </w:rPr>
            </w:pPr>
            <w:r w:rsidRPr="009549EF">
              <w:rPr>
                <w:sz w:val="18"/>
                <w:szCs w:val="18"/>
              </w:rPr>
              <w:t>1137</w:t>
            </w:r>
          </w:p>
        </w:tc>
        <w:tc>
          <w:tcPr>
            <w:tcW w:w="1417" w:type="dxa"/>
            <w:shd w:val="clear" w:color="auto" w:fill="FFFFFF" w:themeFill="background1"/>
            <w:hideMark/>
          </w:tcPr>
          <w:p w:rsidR="007063DF" w:rsidRPr="009549EF" w:rsidRDefault="007063DF" w:rsidP="007063DF">
            <w:pPr>
              <w:pStyle w:val="BodyText"/>
              <w:rPr>
                <w:sz w:val="18"/>
                <w:szCs w:val="18"/>
              </w:rPr>
            </w:pPr>
            <w:r w:rsidRPr="009549EF">
              <w:rPr>
                <w:sz w:val="18"/>
                <w:szCs w:val="18"/>
              </w:rPr>
              <w:t>4336</w:t>
            </w:r>
          </w:p>
        </w:tc>
      </w:tr>
      <w:tr w:rsidR="009549EF" w:rsidRPr="009549EF" w:rsidTr="00C30441">
        <w:trPr>
          <w:trHeight w:val="412"/>
        </w:trPr>
        <w:tc>
          <w:tcPr>
            <w:tcW w:w="5240" w:type="dxa"/>
            <w:shd w:val="clear" w:color="auto" w:fill="FFFFFF" w:themeFill="background1"/>
            <w:hideMark/>
          </w:tcPr>
          <w:p w:rsidR="007063DF" w:rsidRPr="009549EF" w:rsidRDefault="007063DF" w:rsidP="007063DF">
            <w:pPr>
              <w:pStyle w:val="BodyText"/>
              <w:rPr>
                <w:b/>
                <w:bCs/>
                <w:color w:val="000000"/>
                <w:sz w:val="18"/>
                <w:szCs w:val="18"/>
              </w:rPr>
            </w:pPr>
            <w:r w:rsidRPr="009549EF">
              <w:rPr>
                <w:b/>
                <w:bCs/>
                <w:color w:val="000000"/>
                <w:sz w:val="18"/>
                <w:szCs w:val="18"/>
              </w:rPr>
              <w:t>Parental status</w:t>
            </w:r>
          </w:p>
        </w:tc>
        <w:tc>
          <w:tcPr>
            <w:tcW w:w="1058" w:type="dxa"/>
            <w:shd w:val="clear" w:color="auto" w:fill="FFFFFF" w:themeFill="background1"/>
            <w:hideMark/>
          </w:tcPr>
          <w:p w:rsidR="007063DF" w:rsidRPr="009549EF" w:rsidRDefault="007063DF" w:rsidP="007063DF">
            <w:pPr>
              <w:pStyle w:val="BodyText"/>
              <w:rPr>
                <w:sz w:val="18"/>
                <w:szCs w:val="18"/>
              </w:rPr>
            </w:pPr>
            <w:r w:rsidRPr="009549EF">
              <w:rPr>
                <w:sz w:val="18"/>
                <w:szCs w:val="18"/>
              </w:rPr>
              <w:t>261</w:t>
            </w:r>
          </w:p>
        </w:tc>
        <w:tc>
          <w:tcPr>
            <w:tcW w:w="993" w:type="dxa"/>
            <w:shd w:val="clear" w:color="auto" w:fill="FFFFFF" w:themeFill="background1"/>
            <w:hideMark/>
          </w:tcPr>
          <w:p w:rsidR="007063DF" w:rsidRPr="009549EF" w:rsidRDefault="007063DF" w:rsidP="007063DF">
            <w:pPr>
              <w:pStyle w:val="BodyText"/>
              <w:rPr>
                <w:sz w:val="18"/>
                <w:szCs w:val="18"/>
              </w:rPr>
            </w:pPr>
            <w:r w:rsidRPr="009549EF">
              <w:rPr>
                <w:sz w:val="18"/>
                <w:szCs w:val="18"/>
              </w:rPr>
              <w:t>218</w:t>
            </w:r>
          </w:p>
        </w:tc>
        <w:tc>
          <w:tcPr>
            <w:tcW w:w="992" w:type="dxa"/>
            <w:shd w:val="clear" w:color="auto" w:fill="FFFFFF" w:themeFill="background1"/>
            <w:hideMark/>
          </w:tcPr>
          <w:p w:rsidR="007063DF" w:rsidRPr="009549EF" w:rsidRDefault="007063DF" w:rsidP="007063DF">
            <w:pPr>
              <w:pStyle w:val="BodyText"/>
              <w:rPr>
                <w:sz w:val="18"/>
                <w:szCs w:val="18"/>
              </w:rPr>
            </w:pPr>
            <w:r w:rsidRPr="009549EF">
              <w:rPr>
                <w:sz w:val="18"/>
                <w:szCs w:val="18"/>
              </w:rPr>
              <w:t>230</w:t>
            </w:r>
          </w:p>
        </w:tc>
        <w:tc>
          <w:tcPr>
            <w:tcW w:w="1417" w:type="dxa"/>
            <w:shd w:val="clear" w:color="auto" w:fill="FFFFFF" w:themeFill="background1"/>
            <w:hideMark/>
          </w:tcPr>
          <w:p w:rsidR="007063DF" w:rsidRPr="009549EF" w:rsidRDefault="007063DF" w:rsidP="007063DF">
            <w:pPr>
              <w:pStyle w:val="BodyText"/>
              <w:rPr>
                <w:sz w:val="18"/>
                <w:szCs w:val="18"/>
              </w:rPr>
            </w:pPr>
            <w:r w:rsidRPr="009549EF">
              <w:rPr>
                <w:sz w:val="18"/>
                <w:szCs w:val="18"/>
              </w:rPr>
              <w:t>709</w:t>
            </w:r>
          </w:p>
        </w:tc>
      </w:tr>
      <w:tr w:rsidR="009549EF" w:rsidRPr="009549EF" w:rsidTr="00C30441">
        <w:trPr>
          <w:trHeight w:val="412"/>
        </w:trPr>
        <w:tc>
          <w:tcPr>
            <w:tcW w:w="5240" w:type="dxa"/>
            <w:shd w:val="clear" w:color="auto" w:fill="FFFFFF" w:themeFill="background1"/>
            <w:hideMark/>
          </w:tcPr>
          <w:p w:rsidR="007063DF" w:rsidRPr="009549EF" w:rsidRDefault="007063DF" w:rsidP="007063DF">
            <w:pPr>
              <w:pStyle w:val="BodyText"/>
              <w:rPr>
                <w:b/>
                <w:bCs/>
                <w:color w:val="000000"/>
                <w:sz w:val="18"/>
                <w:szCs w:val="18"/>
              </w:rPr>
            </w:pPr>
            <w:r w:rsidRPr="009549EF">
              <w:rPr>
                <w:b/>
                <w:bCs/>
                <w:color w:val="000000"/>
                <w:sz w:val="18"/>
                <w:szCs w:val="18"/>
              </w:rPr>
              <w:lastRenderedPageBreak/>
              <w:t>Personal association</w:t>
            </w:r>
          </w:p>
        </w:tc>
        <w:tc>
          <w:tcPr>
            <w:tcW w:w="1058" w:type="dxa"/>
            <w:shd w:val="clear" w:color="auto" w:fill="FFFFFF" w:themeFill="background1"/>
            <w:hideMark/>
          </w:tcPr>
          <w:p w:rsidR="007063DF" w:rsidRPr="009549EF" w:rsidRDefault="007063DF" w:rsidP="007063DF">
            <w:pPr>
              <w:pStyle w:val="BodyText"/>
              <w:rPr>
                <w:sz w:val="18"/>
                <w:szCs w:val="18"/>
              </w:rPr>
            </w:pPr>
            <w:r w:rsidRPr="009549EF">
              <w:rPr>
                <w:sz w:val="18"/>
                <w:szCs w:val="18"/>
              </w:rPr>
              <w:t>105</w:t>
            </w:r>
          </w:p>
        </w:tc>
        <w:tc>
          <w:tcPr>
            <w:tcW w:w="993" w:type="dxa"/>
            <w:shd w:val="clear" w:color="auto" w:fill="FFFFFF" w:themeFill="background1"/>
            <w:hideMark/>
          </w:tcPr>
          <w:p w:rsidR="007063DF" w:rsidRPr="009549EF" w:rsidRDefault="007063DF" w:rsidP="007063DF">
            <w:pPr>
              <w:pStyle w:val="BodyText"/>
              <w:rPr>
                <w:sz w:val="18"/>
                <w:szCs w:val="18"/>
              </w:rPr>
            </w:pPr>
            <w:r w:rsidRPr="009549EF">
              <w:rPr>
                <w:sz w:val="18"/>
                <w:szCs w:val="18"/>
              </w:rPr>
              <w:t>80</w:t>
            </w:r>
          </w:p>
        </w:tc>
        <w:tc>
          <w:tcPr>
            <w:tcW w:w="992" w:type="dxa"/>
            <w:shd w:val="clear" w:color="auto" w:fill="FFFFFF" w:themeFill="background1"/>
            <w:hideMark/>
          </w:tcPr>
          <w:p w:rsidR="007063DF" w:rsidRPr="009549EF" w:rsidRDefault="007063DF" w:rsidP="007063DF">
            <w:pPr>
              <w:pStyle w:val="BodyText"/>
              <w:rPr>
                <w:sz w:val="18"/>
                <w:szCs w:val="18"/>
              </w:rPr>
            </w:pPr>
            <w:r w:rsidRPr="009549EF">
              <w:rPr>
                <w:sz w:val="18"/>
                <w:szCs w:val="18"/>
              </w:rPr>
              <w:t>57</w:t>
            </w:r>
          </w:p>
        </w:tc>
        <w:tc>
          <w:tcPr>
            <w:tcW w:w="1417" w:type="dxa"/>
            <w:shd w:val="clear" w:color="auto" w:fill="FFFFFF" w:themeFill="background1"/>
            <w:hideMark/>
          </w:tcPr>
          <w:p w:rsidR="007063DF" w:rsidRPr="009549EF" w:rsidRDefault="007063DF" w:rsidP="007063DF">
            <w:pPr>
              <w:pStyle w:val="BodyText"/>
              <w:rPr>
                <w:sz w:val="18"/>
                <w:szCs w:val="18"/>
              </w:rPr>
            </w:pPr>
            <w:r w:rsidRPr="009549EF">
              <w:rPr>
                <w:sz w:val="18"/>
                <w:szCs w:val="18"/>
              </w:rPr>
              <w:t>242</w:t>
            </w:r>
          </w:p>
        </w:tc>
      </w:tr>
      <w:tr w:rsidR="009549EF" w:rsidRPr="009549EF" w:rsidTr="00C30441">
        <w:trPr>
          <w:trHeight w:val="412"/>
        </w:trPr>
        <w:tc>
          <w:tcPr>
            <w:tcW w:w="5240" w:type="dxa"/>
            <w:shd w:val="clear" w:color="auto" w:fill="FFFFFF" w:themeFill="background1"/>
            <w:hideMark/>
          </w:tcPr>
          <w:p w:rsidR="007063DF" w:rsidRPr="009549EF" w:rsidRDefault="007063DF" w:rsidP="007063DF">
            <w:pPr>
              <w:pStyle w:val="BodyText"/>
              <w:rPr>
                <w:b/>
                <w:bCs/>
                <w:color w:val="000000"/>
                <w:sz w:val="18"/>
                <w:szCs w:val="18"/>
              </w:rPr>
            </w:pPr>
            <w:r w:rsidRPr="009549EF">
              <w:rPr>
                <w:b/>
                <w:bCs/>
                <w:color w:val="000000"/>
                <w:sz w:val="18"/>
                <w:szCs w:val="18"/>
              </w:rPr>
              <w:t>Physical features</w:t>
            </w:r>
          </w:p>
        </w:tc>
        <w:tc>
          <w:tcPr>
            <w:tcW w:w="1058" w:type="dxa"/>
            <w:shd w:val="clear" w:color="auto" w:fill="FFFFFF" w:themeFill="background1"/>
            <w:hideMark/>
          </w:tcPr>
          <w:p w:rsidR="007063DF" w:rsidRPr="009549EF" w:rsidRDefault="007063DF" w:rsidP="007063DF">
            <w:pPr>
              <w:pStyle w:val="BodyText"/>
              <w:rPr>
                <w:sz w:val="18"/>
                <w:szCs w:val="18"/>
              </w:rPr>
            </w:pPr>
            <w:r w:rsidRPr="009549EF">
              <w:rPr>
                <w:sz w:val="18"/>
                <w:szCs w:val="18"/>
              </w:rPr>
              <w:t>184</w:t>
            </w:r>
          </w:p>
        </w:tc>
        <w:tc>
          <w:tcPr>
            <w:tcW w:w="993" w:type="dxa"/>
            <w:shd w:val="clear" w:color="auto" w:fill="FFFFFF" w:themeFill="background1"/>
            <w:hideMark/>
          </w:tcPr>
          <w:p w:rsidR="007063DF" w:rsidRPr="009549EF" w:rsidRDefault="007063DF" w:rsidP="007063DF">
            <w:pPr>
              <w:pStyle w:val="BodyText"/>
              <w:rPr>
                <w:sz w:val="18"/>
                <w:szCs w:val="18"/>
              </w:rPr>
            </w:pPr>
            <w:r w:rsidRPr="009549EF">
              <w:rPr>
                <w:sz w:val="18"/>
                <w:szCs w:val="18"/>
              </w:rPr>
              <w:t>159</w:t>
            </w:r>
          </w:p>
        </w:tc>
        <w:tc>
          <w:tcPr>
            <w:tcW w:w="992" w:type="dxa"/>
            <w:shd w:val="clear" w:color="auto" w:fill="FFFFFF" w:themeFill="background1"/>
            <w:hideMark/>
          </w:tcPr>
          <w:p w:rsidR="007063DF" w:rsidRPr="009549EF" w:rsidRDefault="007063DF" w:rsidP="007063DF">
            <w:pPr>
              <w:pStyle w:val="BodyText"/>
              <w:rPr>
                <w:sz w:val="18"/>
                <w:szCs w:val="18"/>
              </w:rPr>
            </w:pPr>
            <w:r w:rsidRPr="009549EF">
              <w:rPr>
                <w:sz w:val="18"/>
                <w:szCs w:val="18"/>
              </w:rPr>
              <w:t>112</w:t>
            </w:r>
          </w:p>
        </w:tc>
        <w:tc>
          <w:tcPr>
            <w:tcW w:w="1417" w:type="dxa"/>
            <w:shd w:val="clear" w:color="auto" w:fill="FFFFFF" w:themeFill="background1"/>
            <w:hideMark/>
          </w:tcPr>
          <w:p w:rsidR="007063DF" w:rsidRPr="009549EF" w:rsidRDefault="007063DF" w:rsidP="007063DF">
            <w:pPr>
              <w:pStyle w:val="BodyText"/>
              <w:rPr>
                <w:sz w:val="18"/>
                <w:szCs w:val="18"/>
              </w:rPr>
            </w:pPr>
            <w:r w:rsidRPr="009549EF">
              <w:rPr>
                <w:sz w:val="18"/>
                <w:szCs w:val="18"/>
              </w:rPr>
              <w:t>455</w:t>
            </w:r>
          </w:p>
        </w:tc>
      </w:tr>
      <w:tr w:rsidR="009549EF" w:rsidRPr="009549EF" w:rsidTr="00C30441">
        <w:trPr>
          <w:trHeight w:val="412"/>
        </w:trPr>
        <w:tc>
          <w:tcPr>
            <w:tcW w:w="5240" w:type="dxa"/>
            <w:shd w:val="clear" w:color="auto" w:fill="FFFFFF" w:themeFill="background1"/>
            <w:hideMark/>
          </w:tcPr>
          <w:p w:rsidR="007063DF" w:rsidRPr="009549EF" w:rsidRDefault="007063DF" w:rsidP="007063DF">
            <w:pPr>
              <w:pStyle w:val="BodyText"/>
              <w:rPr>
                <w:b/>
                <w:bCs/>
                <w:color w:val="000000"/>
                <w:sz w:val="18"/>
                <w:szCs w:val="18"/>
              </w:rPr>
            </w:pPr>
            <w:r w:rsidRPr="009549EF">
              <w:rPr>
                <w:b/>
                <w:bCs/>
                <w:color w:val="000000"/>
                <w:sz w:val="18"/>
                <w:szCs w:val="18"/>
              </w:rPr>
              <w:t>Police</w:t>
            </w:r>
          </w:p>
        </w:tc>
        <w:tc>
          <w:tcPr>
            <w:tcW w:w="1058" w:type="dxa"/>
            <w:shd w:val="clear" w:color="auto" w:fill="FFFFFF" w:themeFill="background1"/>
            <w:hideMark/>
          </w:tcPr>
          <w:p w:rsidR="007063DF" w:rsidRPr="009549EF" w:rsidRDefault="007063DF" w:rsidP="007063DF">
            <w:pPr>
              <w:pStyle w:val="BodyText"/>
              <w:rPr>
                <w:sz w:val="18"/>
                <w:szCs w:val="18"/>
              </w:rPr>
            </w:pPr>
            <w:r w:rsidRPr="009549EF">
              <w:rPr>
                <w:sz w:val="18"/>
                <w:szCs w:val="18"/>
              </w:rPr>
              <w:t>109</w:t>
            </w:r>
          </w:p>
        </w:tc>
        <w:tc>
          <w:tcPr>
            <w:tcW w:w="993" w:type="dxa"/>
            <w:shd w:val="clear" w:color="auto" w:fill="FFFFFF" w:themeFill="background1"/>
            <w:hideMark/>
          </w:tcPr>
          <w:p w:rsidR="007063DF" w:rsidRPr="009549EF" w:rsidRDefault="007063DF" w:rsidP="007063DF">
            <w:pPr>
              <w:pStyle w:val="BodyText"/>
              <w:rPr>
                <w:sz w:val="18"/>
                <w:szCs w:val="18"/>
              </w:rPr>
            </w:pPr>
            <w:r w:rsidRPr="009549EF">
              <w:rPr>
                <w:sz w:val="18"/>
                <w:szCs w:val="18"/>
              </w:rPr>
              <w:t>74</w:t>
            </w:r>
          </w:p>
        </w:tc>
        <w:tc>
          <w:tcPr>
            <w:tcW w:w="992" w:type="dxa"/>
            <w:shd w:val="clear" w:color="auto" w:fill="FFFFFF" w:themeFill="background1"/>
            <w:hideMark/>
          </w:tcPr>
          <w:p w:rsidR="007063DF" w:rsidRPr="009549EF" w:rsidRDefault="007063DF" w:rsidP="007063DF">
            <w:pPr>
              <w:pStyle w:val="BodyText"/>
              <w:rPr>
                <w:sz w:val="18"/>
                <w:szCs w:val="18"/>
              </w:rPr>
            </w:pPr>
            <w:r w:rsidRPr="009549EF">
              <w:rPr>
                <w:sz w:val="18"/>
                <w:szCs w:val="18"/>
              </w:rPr>
              <w:t>81</w:t>
            </w:r>
          </w:p>
        </w:tc>
        <w:tc>
          <w:tcPr>
            <w:tcW w:w="1417" w:type="dxa"/>
            <w:shd w:val="clear" w:color="auto" w:fill="FFFFFF" w:themeFill="background1"/>
            <w:hideMark/>
          </w:tcPr>
          <w:p w:rsidR="007063DF" w:rsidRPr="009549EF" w:rsidRDefault="007063DF" w:rsidP="007063DF">
            <w:pPr>
              <w:pStyle w:val="BodyText"/>
              <w:rPr>
                <w:sz w:val="18"/>
                <w:szCs w:val="18"/>
              </w:rPr>
            </w:pPr>
            <w:r w:rsidRPr="009549EF">
              <w:rPr>
                <w:sz w:val="18"/>
                <w:szCs w:val="18"/>
              </w:rPr>
              <w:t>264</w:t>
            </w:r>
          </w:p>
        </w:tc>
      </w:tr>
      <w:tr w:rsidR="009549EF" w:rsidRPr="009549EF" w:rsidTr="00C30441">
        <w:trPr>
          <w:trHeight w:val="412"/>
        </w:trPr>
        <w:tc>
          <w:tcPr>
            <w:tcW w:w="5240" w:type="dxa"/>
            <w:shd w:val="clear" w:color="auto" w:fill="FFFFFF" w:themeFill="background1"/>
            <w:hideMark/>
          </w:tcPr>
          <w:p w:rsidR="007063DF" w:rsidRPr="009549EF" w:rsidRDefault="007063DF" w:rsidP="007063DF">
            <w:pPr>
              <w:pStyle w:val="BodyText"/>
              <w:rPr>
                <w:b/>
                <w:bCs/>
                <w:color w:val="000000"/>
                <w:sz w:val="18"/>
                <w:szCs w:val="18"/>
              </w:rPr>
            </w:pPr>
            <w:r w:rsidRPr="009549EF">
              <w:rPr>
                <w:b/>
                <w:bCs/>
                <w:color w:val="000000"/>
                <w:sz w:val="18"/>
                <w:szCs w:val="18"/>
              </w:rPr>
              <w:t>Political belief or activity</w:t>
            </w:r>
          </w:p>
        </w:tc>
        <w:tc>
          <w:tcPr>
            <w:tcW w:w="1058" w:type="dxa"/>
            <w:shd w:val="clear" w:color="auto" w:fill="FFFFFF" w:themeFill="background1"/>
            <w:hideMark/>
          </w:tcPr>
          <w:p w:rsidR="007063DF" w:rsidRPr="009549EF" w:rsidRDefault="007063DF" w:rsidP="007063DF">
            <w:pPr>
              <w:pStyle w:val="BodyText"/>
              <w:rPr>
                <w:sz w:val="18"/>
                <w:szCs w:val="18"/>
              </w:rPr>
            </w:pPr>
            <w:r w:rsidRPr="009549EF">
              <w:rPr>
                <w:sz w:val="18"/>
                <w:szCs w:val="18"/>
              </w:rPr>
              <w:t>29</w:t>
            </w:r>
          </w:p>
        </w:tc>
        <w:tc>
          <w:tcPr>
            <w:tcW w:w="993" w:type="dxa"/>
            <w:shd w:val="clear" w:color="auto" w:fill="FFFFFF" w:themeFill="background1"/>
            <w:hideMark/>
          </w:tcPr>
          <w:p w:rsidR="007063DF" w:rsidRPr="009549EF" w:rsidRDefault="007063DF" w:rsidP="007063DF">
            <w:pPr>
              <w:pStyle w:val="BodyText"/>
              <w:rPr>
                <w:sz w:val="18"/>
                <w:szCs w:val="18"/>
              </w:rPr>
            </w:pPr>
            <w:r w:rsidRPr="009549EF">
              <w:rPr>
                <w:sz w:val="18"/>
                <w:szCs w:val="18"/>
              </w:rPr>
              <w:t>33</w:t>
            </w:r>
          </w:p>
        </w:tc>
        <w:tc>
          <w:tcPr>
            <w:tcW w:w="992" w:type="dxa"/>
            <w:shd w:val="clear" w:color="auto" w:fill="FFFFFF" w:themeFill="background1"/>
            <w:hideMark/>
          </w:tcPr>
          <w:p w:rsidR="007063DF" w:rsidRPr="009549EF" w:rsidRDefault="007063DF" w:rsidP="007063DF">
            <w:pPr>
              <w:pStyle w:val="BodyText"/>
              <w:rPr>
                <w:sz w:val="18"/>
                <w:szCs w:val="18"/>
              </w:rPr>
            </w:pPr>
            <w:r w:rsidRPr="009549EF">
              <w:rPr>
                <w:sz w:val="18"/>
                <w:szCs w:val="18"/>
              </w:rPr>
              <w:t>38</w:t>
            </w:r>
          </w:p>
        </w:tc>
        <w:tc>
          <w:tcPr>
            <w:tcW w:w="1417" w:type="dxa"/>
            <w:shd w:val="clear" w:color="auto" w:fill="FFFFFF" w:themeFill="background1"/>
            <w:hideMark/>
          </w:tcPr>
          <w:p w:rsidR="007063DF" w:rsidRPr="009549EF" w:rsidRDefault="007063DF" w:rsidP="007063DF">
            <w:pPr>
              <w:pStyle w:val="BodyText"/>
              <w:rPr>
                <w:sz w:val="18"/>
                <w:szCs w:val="18"/>
              </w:rPr>
            </w:pPr>
            <w:r w:rsidRPr="009549EF">
              <w:rPr>
                <w:sz w:val="18"/>
                <w:szCs w:val="18"/>
              </w:rPr>
              <w:t>100</w:t>
            </w:r>
          </w:p>
        </w:tc>
      </w:tr>
      <w:tr w:rsidR="009549EF" w:rsidRPr="009549EF" w:rsidTr="00C30441">
        <w:trPr>
          <w:trHeight w:val="412"/>
        </w:trPr>
        <w:tc>
          <w:tcPr>
            <w:tcW w:w="5240" w:type="dxa"/>
            <w:shd w:val="clear" w:color="auto" w:fill="FFFFFF" w:themeFill="background1"/>
            <w:hideMark/>
          </w:tcPr>
          <w:p w:rsidR="007063DF" w:rsidRPr="009549EF" w:rsidRDefault="007063DF" w:rsidP="007063DF">
            <w:pPr>
              <w:pStyle w:val="BodyText"/>
              <w:rPr>
                <w:b/>
                <w:bCs/>
                <w:color w:val="000000"/>
                <w:sz w:val="18"/>
                <w:szCs w:val="18"/>
              </w:rPr>
            </w:pPr>
            <w:r w:rsidRPr="009549EF">
              <w:rPr>
                <w:b/>
                <w:bCs/>
                <w:color w:val="000000"/>
                <w:sz w:val="18"/>
                <w:szCs w:val="18"/>
              </w:rPr>
              <w:t>Pregnancy</w:t>
            </w:r>
          </w:p>
        </w:tc>
        <w:tc>
          <w:tcPr>
            <w:tcW w:w="1058" w:type="dxa"/>
            <w:shd w:val="clear" w:color="auto" w:fill="FFFFFF" w:themeFill="background1"/>
            <w:hideMark/>
          </w:tcPr>
          <w:p w:rsidR="007063DF" w:rsidRPr="009549EF" w:rsidRDefault="007063DF" w:rsidP="007063DF">
            <w:pPr>
              <w:pStyle w:val="BodyText"/>
              <w:rPr>
                <w:sz w:val="18"/>
                <w:szCs w:val="18"/>
              </w:rPr>
            </w:pPr>
            <w:r w:rsidRPr="009549EF">
              <w:rPr>
                <w:sz w:val="18"/>
                <w:szCs w:val="18"/>
              </w:rPr>
              <w:t>110</w:t>
            </w:r>
          </w:p>
        </w:tc>
        <w:tc>
          <w:tcPr>
            <w:tcW w:w="993" w:type="dxa"/>
            <w:shd w:val="clear" w:color="auto" w:fill="FFFFFF" w:themeFill="background1"/>
            <w:hideMark/>
          </w:tcPr>
          <w:p w:rsidR="007063DF" w:rsidRPr="009549EF" w:rsidRDefault="007063DF" w:rsidP="007063DF">
            <w:pPr>
              <w:pStyle w:val="BodyText"/>
              <w:rPr>
                <w:sz w:val="18"/>
                <w:szCs w:val="18"/>
              </w:rPr>
            </w:pPr>
            <w:r w:rsidRPr="009549EF">
              <w:rPr>
                <w:sz w:val="18"/>
                <w:szCs w:val="18"/>
              </w:rPr>
              <w:t>116</w:t>
            </w:r>
          </w:p>
        </w:tc>
        <w:tc>
          <w:tcPr>
            <w:tcW w:w="992" w:type="dxa"/>
            <w:shd w:val="clear" w:color="auto" w:fill="FFFFFF" w:themeFill="background1"/>
            <w:hideMark/>
          </w:tcPr>
          <w:p w:rsidR="007063DF" w:rsidRPr="009549EF" w:rsidRDefault="007063DF" w:rsidP="007063DF">
            <w:pPr>
              <w:pStyle w:val="BodyText"/>
              <w:rPr>
                <w:sz w:val="18"/>
                <w:szCs w:val="18"/>
              </w:rPr>
            </w:pPr>
            <w:r w:rsidRPr="009549EF">
              <w:rPr>
                <w:sz w:val="18"/>
                <w:szCs w:val="18"/>
              </w:rPr>
              <w:t>121</w:t>
            </w:r>
          </w:p>
        </w:tc>
        <w:tc>
          <w:tcPr>
            <w:tcW w:w="1417" w:type="dxa"/>
            <w:shd w:val="clear" w:color="auto" w:fill="FFFFFF" w:themeFill="background1"/>
            <w:hideMark/>
          </w:tcPr>
          <w:p w:rsidR="007063DF" w:rsidRPr="009549EF" w:rsidRDefault="007063DF" w:rsidP="007063DF">
            <w:pPr>
              <w:pStyle w:val="BodyText"/>
              <w:rPr>
                <w:sz w:val="18"/>
                <w:szCs w:val="18"/>
              </w:rPr>
            </w:pPr>
            <w:r w:rsidRPr="009549EF">
              <w:rPr>
                <w:sz w:val="18"/>
                <w:szCs w:val="18"/>
              </w:rPr>
              <w:t>347</w:t>
            </w:r>
          </w:p>
        </w:tc>
      </w:tr>
      <w:tr w:rsidR="009549EF" w:rsidRPr="009549EF" w:rsidTr="00C30441">
        <w:trPr>
          <w:trHeight w:val="412"/>
        </w:trPr>
        <w:tc>
          <w:tcPr>
            <w:tcW w:w="5240" w:type="dxa"/>
            <w:shd w:val="clear" w:color="auto" w:fill="FFFFFF" w:themeFill="background1"/>
            <w:hideMark/>
          </w:tcPr>
          <w:p w:rsidR="007063DF" w:rsidRPr="009549EF" w:rsidRDefault="007063DF" w:rsidP="007063DF">
            <w:pPr>
              <w:pStyle w:val="BodyText"/>
              <w:rPr>
                <w:b/>
                <w:bCs/>
                <w:color w:val="000000"/>
                <w:sz w:val="18"/>
                <w:szCs w:val="18"/>
              </w:rPr>
            </w:pPr>
            <w:r w:rsidRPr="009549EF">
              <w:rPr>
                <w:b/>
                <w:bCs/>
                <w:color w:val="000000"/>
                <w:sz w:val="18"/>
                <w:szCs w:val="18"/>
              </w:rPr>
              <w:t>Prisons</w:t>
            </w:r>
          </w:p>
        </w:tc>
        <w:tc>
          <w:tcPr>
            <w:tcW w:w="1058" w:type="dxa"/>
            <w:shd w:val="clear" w:color="auto" w:fill="FFFFFF" w:themeFill="background1"/>
            <w:hideMark/>
          </w:tcPr>
          <w:p w:rsidR="007063DF" w:rsidRPr="009549EF" w:rsidRDefault="007063DF" w:rsidP="007063DF">
            <w:pPr>
              <w:pStyle w:val="BodyText"/>
              <w:rPr>
                <w:sz w:val="18"/>
                <w:szCs w:val="18"/>
              </w:rPr>
            </w:pPr>
            <w:r w:rsidRPr="009549EF">
              <w:rPr>
                <w:sz w:val="18"/>
                <w:szCs w:val="18"/>
              </w:rPr>
              <w:t>66</w:t>
            </w:r>
          </w:p>
        </w:tc>
        <w:tc>
          <w:tcPr>
            <w:tcW w:w="993" w:type="dxa"/>
            <w:shd w:val="clear" w:color="auto" w:fill="FFFFFF" w:themeFill="background1"/>
            <w:hideMark/>
          </w:tcPr>
          <w:p w:rsidR="007063DF" w:rsidRPr="009549EF" w:rsidRDefault="007063DF" w:rsidP="007063DF">
            <w:pPr>
              <w:pStyle w:val="BodyText"/>
              <w:rPr>
                <w:sz w:val="18"/>
                <w:szCs w:val="18"/>
              </w:rPr>
            </w:pPr>
            <w:r w:rsidRPr="009549EF">
              <w:rPr>
                <w:sz w:val="18"/>
                <w:szCs w:val="18"/>
              </w:rPr>
              <w:t>25</w:t>
            </w:r>
          </w:p>
        </w:tc>
        <w:tc>
          <w:tcPr>
            <w:tcW w:w="992" w:type="dxa"/>
            <w:shd w:val="clear" w:color="auto" w:fill="FFFFFF" w:themeFill="background1"/>
            <w:hideMark/>
          </w:tcPr>
          <w:p w:rsidR="007063DF" w:rsidRPr="009549EF" w:rsidRDefault="007063DF" w:rsidP="007063DF">
            <w:pPr>
              <w:pStyle w:val="BodyText"/>
              <w:rPr>
                <w:sz w:val="18"/>
                <w:szCs w:val="18"/>
              </w:rPr>
            </w:pPr>
            <w:r w:rsidRPr="009549EF">
              <w:rPr>
                <w:sz w:val="18"/>
                <w:szCs w:val="18"/>
              </w:rPr>
              <w:t>18</w:t>
            </w:r>
          </w:p>
        </w:tc>
        <w:tc>
          <w:tcPr>
            <w:tcW w:w="1417" w:type="dxa"/>
            <w:shd w:val="clear" w:color="auto" w:fill="FFFFFF" w:themeFill="background1"/>
            <w:hideMark/>
          </w:tcPr>
          <w:p w:rsidR="007063DF" w:rsidRPr="009549EF" w:rsidRDefault="007063DF" w:rsidP="007063DF">
            <w:pPr>
              <w:pStyle w:val="BodyText"/>
              <w:rPr>
                <w:sz w:val="18"/>
                <w:szCs w:val="18"/>
              </w:rPr>
            </w:pPr>
            <w:r w:rsidRPr="009549EF">
              <w:rPr>
                <w:sz w:val="18"/>
                <w:szCs w:val="18"/>
              </w:rPr>
              <w:t>109</w:t>
            </w:r>
          </w:p>
        </w:tc>
      </w:tr>
      <w:tr w:rsidR="009549EF" w:rsidRPr="009549EF" w:rsidTr="00C30441">
        <w:trPr>
          <w:trHeight w:val="412"/>
        </w:trPr>
        <w:tc>
          <w:tcPr>
            <w:tcW w:w="5240" w:type="dxa"/>
            <w:shd w:val="clear" w:color="auto" w:fill="FFFFFF" w:themeFill="background1"/>
            <w:hideMark/>
          </w:tcPr>
          <w:p w:rsidR="007063DF" w:rsidRPr="009549EF" w:rsidRDefault="007063DF" w:rsidP="007063DF">
            <w:pPr>
              <w:pStyle w:val="BodyText"/>
              <w:rPr>
                <w:b/>
                <w:bCs/>
                <w:color w:val="000000"/>
                <w:sz w:val="18"/>
                <w:szCs w:val="18"/>
              </w:rPr>
            </w:pPr>
            <w:r w:rsidRPr="009549EF">
              <w:rPr>
                <w:b/>
                <w:bCs/>
                <w:color w:val="000000"/>
                <w:sz w:val="18"/>
                <w:szCs w:val="18"/>
              </w:rPr>
              <w:t>Privacy</w:t>
            </w:r>
          </w:p>
        </w:tc>
        <w:tc>
          <w:tcPr>
            <w:tcW w:w="1058" w:type="dxa"/>
            <w:shd w:val="clear" w:color="auto" w:fill="FFFFFF" w:themeFill="background1"/>
            <w:hideMark/>
          </w:tcPr>
          <w:p w:rsidR="007063DF" w:rsidRPr="009549EF" w:rsidRDefault="007063DF" w:rsidP="007063DF">
            <w:pPr>
              <w:pStyle w:val="BodyText"/>
              <w:rPr>
                <w:sz w:val="18"/>
                <w:szCs w:val="18"/>
              </w:rPr>
            </w:pPr>
            <w:r w:rsidRPr="009549EF">
              <w:rPr>
                <w:sz w:val="18"/>
                <w:szCs w:val="18"/>
              </w:rPr>
              <w:t>21</w:t>
            </w:r>
          </w:p>
        </w:tc>
        <w:tc>
          <w:tcPr>
            <w:tcW w:w="993" w:type="dxa"/>
            <w:shd w:val="clear" w:color="auto" w:fill="FFFFFF" w:themeFill="background1"/>
            <w:hideMark/>
          </w:tcPr>
          <w:p w:rsidR="007063DF" w:rsidRPr="009549EF" w:rsidRDefault="007063DF" w:rsidP="007063DF">
            <w:pPr>
              <w:pStyle w:val="BodyText"/>
              <w:rPr>
                <w:sz w:val="18"/>
                <w:szCs w:val="18"/>
              </w:rPr>
            </w:pPr>
            <w:r w:rsidRPr="009549EF">
              <w:rPr>
                <w:sz w:val="18"/>
                <w:szCs w:val="18"/>
              </w:rPr>
              <w:t>9</w:t>
            </w:r>
          </w:p>
        </w:tc>
        <w:tc>
          <w:tcPr>
            <w:tcW w:w="992" w:type="dxa"/>
            <w:shd w:val="clear" w:color="auto" w:fill="FFFFFF" w:themeFill="background1"/>
            <w:hideMark/>
          </w:tcPr>
          <w:p w:rsidR="007063DF" w:rsidRPr="009549EF" w:rsidRDefault="007063DF" w:rsidP="007063DF">
            <w:pPr>
              <w:pStyle w:val="BodyText"/>
              <w:rPr>
                <w:sz w:val="18"/>
                <w:szCs w:val="18"/>
              </w:rPr>
            </w:pPr>
            <w:r w:rsidRPr="009549EF">
              <w:rPr>
                <w:sz w:val="18"/>
                <w:szCs w:val="18"/>
              </w:rPr>
              <w:t>16</w:t>
            </w:r>
          </w:p>
        </w:tc>
        <w:tc>
          <w:tcPr>
            <w:tcW w:w="1417" w:type="dxa"/>
            <w:shd w:val="clear" w:color="auto" w:fill="FFFFFF" w:themeFill="background1"/>
            <w:hideMark/>
          </w:tcPr>
          <w:p w:rsidR="007063DF" w:rsidRPr="009549EF" w:rsidRDefault="007063DF" w:rsidP="007063DF">
            <w:pPr>
              <w:pStyle w:val="BodyText"/>
              <w:rPr>
                <w:sz w:val="18"/>
                <w:szCs w:val="18"/>
              </w:rPr>
            </w:pPr>
            <w:r w:rsidRPr="009549EF">
              <w:rPr>
                <w:sz w:val="18"/>
                <w:szCs w:val="18"/>
              </w:rPr>
              <w:t>46</w:t>
            </w:r>
          </w:p>
        </w:tc>
      </w:tr>
      <w:tr w:rsidR="009549EF" w:rsidRPr="009549EF" w:rsidTr="00C30441">
        <w:trPr>
          <w:trHeight w:val="412"/>
        </w:trPr>
        <w:tc>
          <w:tcPr>
            <w:tcW w:w="5240" w:type="dxa"/>
            <w:shd w:val="clear" w:color="auto" w:fill="FFFFFF" w:themeFill="background1"/>
            <w:hideMark/>
          </w:tcPr>
          <w:p w:rsidR="007063DF" w:rsidRPr="009549EF" w:rsidRDefault="007063DF" w:rsidP="007063DF">
            <w:pPr>
              <w:pStyle w:val="BodyText"/>
              <w:rPr>
                <w:b/>
                <w:bCs/>
                <w:color w:val="000000"/>
                <w:sz w:val="18"/>
                <w:szCs w:val="18"/>
              </w:rPr>
            </w:pPr>
            <w:r w:rsidRPr="009549EF">
              <w:rPr>
                <w:b/>
                <w:bCs/>
                <w:color w:val="000000"/>
                <w:sz w:val="18"/>
                <w:szCs w:val="18"/>
              </w:rPr>
              <w:t>Publications - Commission</w:t>
            </w:r>
          </w:p>
        </w:tc>
        <w:tc>
          <w:tcPr>
            <w:tcW w:w="1058" w:type="dxa"/>
            <w:shd w:val="clear" w:color="auto" w:fill="FFFFFF" w:themeFill="background1"/>
            <w:hideMark/>
          </w:tcPr>
          <w:p w:rsidR="007063DF" w:rsidRPr="009549EF" w:rsidRDefault="007063DF" w:rsidP="007063DF">
            <w:pPr>
              <w:pStyle w:val="BodyText"/>
              <w:rPr>
                <w:sz w:val="18"/>
                <w:szCs w:val="18"/>
              </w:rPr>
            </w:pPr>
            <w:r w:rsidRPr="009549EF">
              <w:rPr>
                <w:sz w:val="18"/>
                <w:szCs w:val="18"/>
              </w:rPr>
              <w:t>72</w:t>
            </w:r>
          </w:p>
        </w:tc>
        <w:tc>
          <w:tcPr>
            <w:tcW w:w="993" w:type="dxa"/>
            <w:shd w:val="clear" w:color="auto" w:fill="FFFFFF" w:themeFill="background1"/>
            <w:hideMark/>
          </w:tcPr>
          <w:p w:rsidR="007063DF" w:rsidRPr="009549EF" w:rsidRDefault="007063DF" w:rsidP="007063DF">
            <w:pPr>
              <w:pStyle w:val="BodyText"/>
              <w:rPr>
                <w:sz w:val="18"/>
                <w:szCs w:val="18"/>
              </w:rPr>
            </w:pPr>
            <w:r w:rsidRPr="009549EF">
              <w:rPr>
                <w:sz w:val="18"/>
                <w:szCs w:val="18"/>
              </w:rPr>
              <w:t>48</w:t>
            </w:r>
          </w:p>
        </w:tc>
        <w:tc>
          <w:tcPr>
            <w:tcW w:w="992" w:type="dxa"/>
            <w:shd w:val="clear" w:color="auto" w:fill="FFFFFF" w:themeFill="background1"/>
            <w:hideMark/>
          </w:tcPr>
          <w:p w:rsidR="007063DF" w:rsidRPr="009549EF" w:rsidRDefault="007063DF" w:rsidP="007063DF">
            <w:pPr>
              <w:pStyle w:val="BodyText"/>
              <w:rPr>
                <w:sz w:val="18"/>
                <w:szCs w:val="18"/>
              </w:rPr>
            </w:pPr>
            <w:r w:rsidRPr="009549EF">
              <w:rPr>
                <w:sz w:val="18"/>
                <w:szCs w:val="18"/>
              </w:rPr>
              <w:t>45</w:t>
            </w:r>
          </w:p>
        </w:tc>
        <w:tc>
          <w:tcPr>
            <w:tcW w:w="1417" w:type="dxa"/>
            <w:shd w:val="clear" w:color="auto" w:fill="FFFFFF" w:themeFill="background1"/>
            <w:hideMark/>
          </w:tcPr>
          <w:p w:rsidR="007063DF" w:rsidRPr="009549EF" w:rsidRDefault="007063DF" w:rsidP="007063DF">
            <w:pPr>
              <w:pStyle w:val="BodyText"/>
              <w:rPr>
                <w:sz w:val="18"/>
                <w:szCs w:val="18"/>
              </w:rPr>
            </w:pPr>
            <w:r w:rsidRPr="009549EF">
              <w:rPr>
                <w:sz w:val="18"/>
                <w:szCs w:val="18"/>
              </w:rPr>
              <w:t>165</w:t>
            </w:r>
          </w:p>
        </w:tc>
      </w:tr>
      <w:tr w:rsidR="009549EF" w:rsidRPr="009549EF" w:rsidTr="00C30441">
        <w:trPr>
          <w:trHeight w:val="412"/>
        </w:trPr>
        <w:tc>
          <w:tcPr>
            <w:tcW w:w="5240" w:type="dxa"/>
            <w:shd w:val="clear" w:color="auto" w:fill="FFFFFF" w:themeFill="background1"/>
            <w:hideMark/>
          </w:tcPr>
          <w:p w:rsidR="007063DF" w:rsidRPr="009549EF" w:rsidRDefault="007063DF" w:rsidP="007063DF">
            <w:pPr>
              <w:pStyle w:val="BodyText"/>
              <w:rPr>
                <w:b/>
                <w:bCs/>
                <w:color w:val="000000"/>
                <w:sz w:val="18"/>
                <w:szCs w:val="18"/>
              </w:rPr>
            </w:pPr>
            <w:r w:rsidRPr="009549EF">
              <w:rPr>
                <w:b/>
                <w:bCs/>
                <w:color w:val="000000"/>
                <w:sz w:val="18"/>
                <w:szCs w:val="18"/>
              </w:rPr>
              <w:t>Race</w:t>
            </w:r>
          </w:p>
        </w:tc>
        <w:tc>
          <w:tcPr>
            <w:tcW w:w="1058" w:type="dxa"/>
            <w:shd w:val="clear" w:color="auto" w:fill="FFFFFF" w:themeFill="background1"/>
            <w:hideMark/>
          </w:tcPr>
          <w:p w:rsidR="007063DF" w:rsidRPr="009549EF" w:rsidRDefault="007063DF" w:rsidP="007063DF">
            <w:pPr>
              <w:pStyle w:val="BodyText"/>
              <w:rPr>
                <w:sz w:val="18"/>
                <w:szCs w:val="18"/>
              </w:rPr>
            </w:pPr>
            <w:r w:rsidRPr="009549EF">
              <w:rPr>
                <w:sz w:val="18"/>
                <w:szCs w:val="18"/>
              </w:rPr>
              <w:t>473</w:t>
            </w:r>
          </w:p>
        </w:tc>
        <w:tc>
          <w:tcPr>
            <w:tcW w:w="993" w:type="dxa"/>
            <w:shd w:val="clear" w:color="auto" w:fill="FFFFFF" w:themeFill="background1"/>
            <w:hideMark/>
          </w:tcPr>
          <w:p w:rsidR="007063DF" w:rsidRPr="009549EF" w:rsidRDefault="007063DF" w:rsidP="007063DF">
            <w:pPr>
              <w:pStyle w:val="BodyText"/>
              <w:rPr>
                <w:sz w:val="18"/>
                <w:szCs w:val="18"/>
              </w:rPr>
            </w:pPr>
            <w:r w:rsidRPr="009549EF">
              <w:rPr>
                <w:sz w:val="18"/>
                <w:szCs w:val="18"/>
              </w:rPr>
              <w:t>630</w:t>
            </w:r>
          </w:p>
        </w:tc>
        <w:tc>
          <w:tcPr>
            <w:tcW w:w="992" w:type="dxa"/>
            <w:shd w:val="clear" w:color="auto" w:fill="FFFFFF" w:themeFill="background1"/>
            <w:hideMark/>
          </w:tcPr>
          <w:p w:rsidR="007063DF" w:rsidRPr="009549EF" w:rsidRDefault="007063DF" w:rsidP="007063DF">
            <w:pPr>
              <w:pStyle w:val="BodyText"/>
              <w:rPr>
                <w:sz w:val="18"/>
                <w:szCs w:val="18"/>
              </w:rPr>
            </w:pPr>
            <w:r w:rsidRPr="009549EF">
              <w:rPr>
                <w:sz w:val="18"/>
                <w:szCs w:val="18"/>
              </w:rPr>
              <w:t>607</w:t>
            </w:r>
          </w:p>
        </w:tc>
        <w:tc>
          <w:tcPr>
            <w:tcW w:w="1417" w:type="dxa"/>
            <w:shd w:val="clear" w:color="auto" w:fill="FFFFFF" w:themeFill="background1"/>
            <w:hideMark/>
          </w:tcPr>
          <w:p w:rsidR="007063DF" w:rsidRPr="009549EF" w:rsidRDefault="007063DF" w:rsidP="007063DF">
            <w:pPr>
              <w:pStyle w:val="BodyText"/>
              <w:rPr>
                <w:sz w:val="18"/>
                <w:szCs w:val="18"/>
              </w:rPr>
            </w:pPr>
            <w:r w:rsidRPr="009549EF">
              <w:rPr>
                <w:sz w:val="18"/>
                <w:szCs w:val="18"/>
              </w:rPr>
              <w:t>1710</w:t>
            </w:r>
          </w:p>
        </w:tc>
      </w:tr>
      <w:tr w:rsidR="009549EF" w:rsidRPr="009549EF" w:rsidTr="00C30441">
        <w:trPr>
          <w:trHeight w:val="412"/>
        </w:trPr>
        <w:tc>
          <w:tcPr>
            <w:tcW w:w="5240" w:type="dxa"/>
            <w:shd w:val="clear" w:color="auto" w:fill="FFFFFF" w:themeFill="background1"/>
            <w:hideMark/>
          </w:tcPr>
          <w:p w:rsidR="007063DF" w:rsidRPr="009549EF" w:rsidRDefault="007063DF" w:rsidP="007063DF">
            <w:pPr>
              <w:pStyle w:val="BodyText"/>
              <w:rPr>
                <w:b/>
                <w:bCs/>
                <w:color w:val="000000"/>
                <w:sz w:val="18"/>
                <w:szCs w:val="18"/>
              </w:rPr>
            </w:pPr>
            <w:r w:rsidRPr="009549EF">
              <w:rPr>
                <w:b/>
                <w:bCs/>
                <w:color w:val="000000"/>
                <w:sz w:val="18"/>
                <w:szCs w:val="18"/>
              </w:rPr>
              <w:t>Racial vilification</w:t>
            </w:r>
          </w:p>
        </w:tc>
        <w:tc>
          <w:tcPr>
            <w:tcW w:w="1058" w:type="dxa"/>
            <w:shd w:val="clear" w:color="auto" w:fill="FFFFFF" w:themeFill="background1"/>
            <w:hideMark/>
          </w:tcPr>
          <w:p w:rsidR="007063DF" w:rsidRPr="009549EF" w:rsidRDefault="007063DF" w:rsidP="007063DF">
            <w:pPr>
              <w:pStyle w:val="BodyText"/>
              <w:rPr>
                <w:sz w:val="18"/>
                <w:szCs w:val="18"/>
              </w:rPr>
            </w:pPr>
            <w:r w:rsidRPr="009549EF">
              <w:rPr>
                <w:sz w:val="18"/>
                <w:szCs w:val="18"/>
              </w:rPr>
              <w:t>54</w:t>
            </w:r>
          </w:p>
        </w:tc>
        <w:tc>
          <w:tcPr>
            <w:tcW w:w="993" w:type="dxa"/>
            <w:shd w:val="clear" w:color="auto" w:fill="FFFFFF" w:themeFill="background1"/>
            <w:hideMark/>
          </w:tcPr>
          <w:p w:rsidR="007063DF" w:rsidRPr="009549EF" w:rsidRDefault="007063DF" w:rsidP="007063DF">
            <w:pPr>
              <w:pStyle w:val="BodyText"/>
              <w:rPr>
                <w:sz w:val="18"/>
                <w:szCs w:val="18"/>
              </w:rPr>
            </w:pPr>
            <w:r w:rsidRPr="009549EF">
              <w:rPr>
                <w:sz w:val="18"/>
                <w:szCs w:val="18"/>
              </w:rPr>
              <w:t>50</w:t>
            </w:r>
          </w:p>
        </w:tc>
        <w:tc>
          <w:tcPr>
            <w:tcW w:w="992" w:type="dxa"/>
            <w:shd w:val="clear" w:color="auto" w:fill="FFFFFF" w:themeFill="background1"/>
            <w:hideMark/>
          </w:tcPr>
          <w:p w:rsidR="007063DF" w:rsidRPr="009549EF" w:rsidRDefault="007063DF" w:rsidP="007063DF">
            <w:pPr>
              <w:pStyle w:val="BodyText"/>
              <w:rPr>
                <w:sz w:val="18"/>
                <w:szCs w:val="18"/>
              </w:rPr>
            </w:pPr>
            <w:r w:rsidRPr="009549EF">
              <w:rPr>
                <w:sz w:val="18"/>
                <w:szCs w:val="18"/>
              </w:rPr>
              <w:t>47</w:t>
            </w:r>
          </w:p>
        </w:tc>
        <w:tc>
          <w:tcPr>
            <w:tcW w:w="1417" w:type="dxa"/>
            <w:shd w:val="clear" w:color="auto" w:fill="FFFFFF" w:themeFill="background1"/>
            <w:hideMark/>
          </w:tcPr>
          <w:p w:rsidR="007063DF" w:rsidRPr="009549EF" w:rsidRDefault="007063DF" w:rsidP="007063DF">
            <w:pPr>
              <w:pStyle w:val="BodyText"/>
              <w:rPr>
                <w:sz w:val="18"/>
                <w:szCs w:val="18"/>
              </w:rPr>
            </w:pPr>
            <w:r w:rsidRPr="009549EF">
              <w:rPr>
                <w:sz w:val="18"/>
                <w:szCs w:val="18"/>
              </w:rPr>
              <w:t>151</w:t>
            </w:r>
          </w:p>
        </w:tc>
      </w:tr>
      <w:tr w:rsidR="009549EF" w:rsidRPr="009549EF" w:rsidTr="00C30441">
        <w:trPr>
          <w:trHeight w:val="412"/>
        </w:trPr>
        <w:tc>
          <w:tcPr>
            <w:tcW w:w="5240" w:type="dxa"/>
            <w:shd w:val="clear" w:color="auto" w:fill="FFFFFF" w:themeFill="background1"/>
            <w:hideMark/>
          </w:tcPr>
          <w:p w:rsidR="007063DF" w:rsidRPr="009549EF" w:rsidRDefault="007063DF" w:rsidP="007063DF">
            <w:pPr>
              <w:pStyle w:val="BodyText"/>
              <w:rPr>
                <w:b/>
                <w:bCs/>
                <w:color w:val="000000"/>
                <w:sz w:val="18"/>
                <w:szCs w:val="18"/>
              </w:rPr>
            </w:pPr>
            <w:r w:rsidRPr="009549EF">
              <w:rPr>
                <w:b/>
                <w:bCs/>
                <w:color w:val="000000"/>
                <w:sz w:val="18"/>
                <w:szCs w:val="18"/>
              </w:rPr>
              <w:t>Religious belief or activity</w:t>
            </w:r>
          </w:p>
        </w:tc>
        <w:tc>
          <w:tcPr>
            <w:tcW w:w="1058" w:type="dxa"/>
            <w:shd w:val="clear" w:color="auto" w:fill="FFFFFF" w:themeFill="background1"/>
            <w:hideMark/>
          </w:tcPr>
          <w:p w:rsidR="007063DF" w:rsidRPr="009549EF" w:rsidRDefault="007063DF" w:rsidP="007063DF">
            <w:pPr>
              <w:pStyle w:val="BodyText"/>
              <w:rPr>
                <w:sz w:val="18"/>
                <w:szCs w:val="18"/>
              </w:rPr>
            </w:pPr>
            <w:r w:rsidRPr="009549EF">
              <w:rPr>
                <w:sz w:val="18"/>
                <w:szCs w:val="18"/>
              </w:rPr>
              <w:t>146</w:t>
            </w:r>
          </w:p>
        </w:tc>
        <w:tc>
          <w:tcPr>
            <w:tcW w:w="993" w:type="dxa"/>
            <w:shd w:val="clear" w:color="auto" w:fill="FFFFFF" w:themeFill="background1"/>
            <w:hideMark/>
          </w:tcPr>
          <w:p w:rsidR="007063DF" w:rsidRPr="009549EF" w:rsidRDefault="007063DF" w:rsidP="007063DF">
            <w:pPr>
              <w:pStyle w:val="BodyText"/>
              <w:rPr>
                <w:sz w:val="18"/>
                <w:szCs w:val="18"/>
              </w:rPr>
            </w:pPr>
            <w:r w:rsidRPr="009549EF">
              <w:rPr>
                <w:sz w:val="18"/>
                <w:szCs w:val="18"/>
              </w:rPr>
              <w:t>160</w:t>
            </w:r>
          </w:p>
        </w:tc>
        <w:tc>
          <w:tcPr>
            <w:tcW w:w="992" w:type="dxa"/>
            <w:shd w:val="clear" w:color="auto" w:fill="FFFFFF" w:themeFill="background1"/>
            <w:hideMark/>
          </w:tcPr>
          <w:p w:rsidR="007063DF" w:rsidRPr="009549EF" w:rsidRDefault="007063DF" w:rsidP="007063DF">
            <w:pPr>
              <w:pStyle w:val="BodyText"/>
              <w:rPr>
                <w:sz w:val="18"/>
                <w:szCs w:val="18"/>
              </w:rPr>
            </w:pPr>
            <w:r w:rsidRPr="009549EF">
              <w:rPr>
                <w:sz w:val="18"/>
                <w:szCs w:val="18"/>
              </w:rPr>
              <w:t>193</w:t>
            </w:r>
          </w:p>
        </w:tc>
        <w:tc>
          <w:tcPr>
            <w:tcW w:w="1417" w:type="dxa"/>
            <w:shd w:val="clear" w:color="auto" w:fill="FFFFFF" w:themeFill="background1"/>
            <w:hideMark/>
          </w:tcPr>
          <w:p w:rsidR="007063DF" w:rsidRPr="009549EF" w:rsidRDefault="007063DF" w:rsidP="007063DF">
            <w:pPr>
              <w:pStyle w:val="BodyText"/>
              <w:rPr>
                <w:sz w:val="18"/>
                <w:szCs w:val="18"/>
              </w:rPr>
            </w:pPr>
            <w:r w:rsidRPr="009549EF">
              <w:rPr>
                <w:sz w:val="18"/>
                <w:szCs w:val="18"/>
              </w:rPr>
              <w:t>499</w:t>
            </w:r>
          </w:p>
        </w:tc>
      </w:tr>
      <w:tr w:rsidR="009549EF" w:rsidRPr="009549EF" w:rsidTr="00C30441">
        <w:trPr>
          <w:trHeight w:val="412"/>
        </w:trPr>
        <w:tc>
          <w:tcPr>
            <w:tcW w:w="5240" w:type="dxa"/>
            <w:shd w:val="clear" w:color="auto" w:fill="FFFFFF" w:themeFill="background1"/>
            <w:hideMark/>
          </w:tcPr>
          <w:p w:rsidR="007063DF" w:rsidRPr="009549EF" w:rsidRDefault="007063DF" w:rsidP="007063DF">
            <w:pPr>
              <w:pStyle w:val="BodyText"/>
              <w:rPr>
                <w:b/>
                <w:bCs/>
                <w:color w:val="000000"/>
                <w:sz w:val="18"/>
                <w:szCs w:val="18"/>
              </w:rPr>
            </w:pPr>
            <w:r w:rsidRPr="009549EF">
              <w:rPr>
                <w:b/>
                <w:bCs/>
                <w:color w:val="000000"/>
                <w:sz w:val="18"/>
                <w:szCs w:val="18"/>
              </w:rPr>
              <w:t>Religious vilification</w:t>
            </w:r>
          </w:p>
        </w:tc>
        <w:tc>
          <w:tcPr>
            <w:tcW w:w="1058" w:type="dxa"/>
            <w:shd w:val="clear" w:color="auto" w:fill="FFFFFF" w:themeFill="background1"/>
            <w:hideMark/>
          </w:tcPr>
          <w:p w:rsidR="007063DF" w:rsidRPr="009549EF" w:rsidRDefault="007063DF" w:rsidP="007063DF">
            <w:pPr>
              <w:pStyle w:val="BodyText"/>
              <w:rPr>
                <w:sz w:val="18"/>
                <w:szCs w:val="18"/>
              </w:rPr>
            </w:pPr>
            <w:r w:rsidRPr="009549EF">
              <w:rPr>
                <w:sz w:val="18"/>
                <w:szCs w:val="18"/>
              </w:rPr>
              <w:t>27</w:t>
            </w:r>
          </w:p>
        </w:tc>
        <w:tc>
          <w:tcPr>
            <w:tcW w:w="993" w:type="dxa"/>
            <w:shd w:val="clear" w:color="auto" w:fill="FFFFFF" w:themeFill="background1"/>
            <w:hideMark/>
          </w:tcPr>
          <w:p w:rsidR="007063DF" w:rsidRPr="009549EF" w:rsidRDefault="007063DF" w:rsidP="007063DF">
            <w:pPr>
              <w:pStyle w:val="BodyText"/>
              <w:rPr>
                <w:sz w:val="18"/>
                <w:szCs w:val="18"/>
              </w:rPr>
            </w:pPr>
            <w:r w:rsidRPr="009549EF">
              <w:rPr>
                <w:sz w:val="18"/>
                <w:szCs w:val="18"/>
              </w:rPr>
              <w:t>27</w:t>
            </w:r>
          </w:p>
        </w:tc>
        <w:tc>
          <w:tcPr>
            <w:tcW w:w="992" w:type="dxa"/>
            <w:shd w:val="clear" w:color="auto" w:fill="FFFFFF" w:themeFill="background1"/>
            <w:hideMark/>
          </w:tcPr>
          <w:p w:rsidR="007063DF" w:rsidRPr="009549EF" w:rsidRDefault="007063DF" w:rsidP="007063DF">
            <w:pPr>
              <w:pStyle w:val="BodyText"/>
              <w:rPr>
                <w:sz w:val="18"/>
                <w:szCs w:val="18"/>
              </w:rPr>
            </w:pPr>
            <w:r w:rsidRPr="009549EF">
              <w:rPr>
                <w:sz w:val="18"/>
                <w:szCs w:val="18"/>
              </w:rPr>
              <w:t>24</w:t>
            </w:r>
          </w:p>
        </w:tc>
        <w:tc>
          <w:tcPr>
            <w:tcW w:w="1417" w:type="dxa"/>
            <w:shd w:val="clear" w:color="auto" w:fill="FFFFFF" w:themeFill="background1"/>
            <w:hideMark/>
          </w:tcPr>
          <w:p w:rsidR="007063DF" w:rsidRPr="009549EF" w:rsidRDefault="007063DF" w:rsidP="007063DF">
            <w:pPr>
              <w:pStyle w:val="BodyText"/>
              <w:rPr>
                <w:sz w:val="18"/>
                <w:szCs w:val="18"/>
              </w:rPr>
            </w:pPr>
            <w:r w:rsidRPr="009549EF">
              <w:rPr>
                <w:sz w:val="18"/>
                <w:szCs w:val="18"/>
              </w:rPr>
              <w:t>78</w:t>
            </w:r>
          </w:p>
        </w:tc>
      </w:tr>
      <w:tr w:rsidR="009549EF" w:rsidRPr="009549EF" w:rsidTr="00C30441">
        <w:trPr>
          <w:trHeight w:val="412"/>
        </w:trPr>
        <w:tc>
          <w:tcPr>
            <w:tcW w:w="5240" w:type="dxa"/>
            <w:shd w:val="clear" w:color="auto" w:fill="FFFFFF" w:themeFill="background1"/>
            <w:hideMark/>
          </w:tcPr>
          <w:p w:rsidR="007063DF" w:rsidRPr="009549EF" w:rsidRDefault="007063DF" w:rsidP="007063DF">
            <w:pPr>
              <w:pStyle w:val="BodyText"/>
              <w:rPr>
                <w:b/>
                <w:bCs/>
                <w:color w:val="000000"/>
                <w:sz w:val="18"/>
                <w:szCs w:val="18"/>
              </w:rPr>
            </w:pPr>
            <w:r w:rsidRPr="009549EF">
              <w:rPr>
                <w:b/>
                <w:bCs/>
                <w:color w:val="000000"/>
                <w:sz w:val="18"/>
                <w:szCs w:val="18"/>
              </w:rPr>
              <w:t>RRTA-Information provided</w:t>
            </w:r>
          </w:p>
        </w:tc>
        <w:tc>
          <w:tcPr>
            <w:tcW w:w="1058" w:type="dxa"/>
            <w:shd w:val="clear" w:color="auto" w:fill="FFFFFF" w:themeFill="background1"/>
            <w:hideMark/>
          </w:tcPr>
          <w:p w:rsidR="007063DF" w:rsidRPr="009549EF" w:rsidRDefault="007063DF" w:rsidP="007063DF">
            <w:pPr>
              <w:pStyle w:val="BodyText"/>
              <w:rPr>
                <w:sz w:val="18"/>
                <w:szCs w:val="18"/>
              </w:rPr>
            </w:pPr>
            <w:r w:rsidRPr="009549EF">
              <w:rPr>
                <w:sz w:val="18"/>
                <w:szCs w:val="18"/>
              </w:rPr>
              <w:t>36</w:t>
            </w:r>
          </w:p>
        </w:tc>
        <w:tc>
          <w:tcPr>
            <w:tcW w:w="993" w:type="dxa"/>
            <w:shd w:val="clear" w:color="auto" w:fill="FFFFFF" w:themeFill="background1"/>
            <w:hideMark/>
          </w:tcPr>
          <w:p w:rsidR="007063DF" w:rsidRPr="009549EF" w:rsidRDefault="007063DF" w:rsidP="007063DF">
            <w:pPr>
              <w:pStyle w:val="BodyText"/>
              <w:rPr>
                <w:sz w:val="18"/>
                <w:szCs w:val="18"/>
              </w:rPr>
            </w:pPr>
            <w:r w:rsidRPr="009549EF">
              <w:rPr>
                <w:sz w:val="18"/>
                <w:szCs w:val="18"/>
              </w:rPr>
              <w:t>35</w:t>
            </w:r>
          </w:p>
        </w:tc>
        <w:tc>
          <w:tcPr>
            <w:tcW w:w="992" w:type="dxa"/>
            <w:shd w:val="clear" w:color="auto" w:fill="FFFFFF" w:themeFill="background1"/>
            <w:hideMark/>
          </w:tcPr>
          <w:p w:rsidR="007063DF" w:rsidRPr="009549EF" w:rsidRDefault="007063DF" w:rsidP="007063DF">
            <w:pPr>
              <w:pStyle w:val="BodyText"/>
              <w:rPr>
                <w:sz w:val="18"/>
                <w:szCs w:val="18"/>
              </w:rPr>
            </w:pPr>
            <w:r w:rsidRPr="009549EF">
              <w:rPr>
                <w:sz w:val="18"/>
                <w:szCs w:val="18"/>
              </w:rPr>
              <w:t>36</w:t>
            </w:r>
          </w:p>
        </w:tc>
        <w:tc>
          <w:tcPr>
            <w:tcW w:w="1417" w:type="dxa"/>
            <w:shd w:val="clear" w:color="auto" w:fill="FFFFFF" w:themeFill="background1"/>
            <w:hideMark/>
          </w:tcPr>
          <w:p w:rsidR="007063DF" w:rsidRPr="009549EF" w:rsidRDefault="007063DF" w:rsidP="007063DF">
            <w:pPr>
              <w:pStyle w:val="BodyText"/>
              <w:rPr>
                <w:sz w:val="18"/>
                <w:szCs w:val="18"/>
              </w:rPr>
            </w:pPr>
            <w:r w:rsidRPr="009549EF">
              <w:rPr>
                <w:sz w:val="18"/>
                <w:szCs w:val="18"/>
              </w:rPr>
              <w:t>71</w:t>
            </w:r>
          </w:p>
        </w:tc>
      </w:tr>
      <w:tr w:rsidR="009549EF" w:rsidRPr="009549EF" w:rsidTr="00C30441">
        <w:trPr>
          <w:trHeight w:val="412"/>
        </w:trPr>
        <w:tc>
          <w:tcPr>
            <w:tcW w:w="5240" w:type="dxa"/>
            <w:shd w:val="clear" w:color="auto" w:fill="FFFFFF" w:themeFill="background1"/>
            <w:hideMark/>
          </w:tcPr>
          <w:p w:rsidR="007063DF" w:rsidRPr="009549EF" w:rsidRDefault="007063DF" w:rsidP="007063DF">
            <w:pPr>
              <w:pStyle w:val="BodyText"/>
              <w:rPr>
                <w:b/>
                <w:bCs/>
                <w:color w:val="000000"/>
                <w:sz w:val="18"/>
                <w:szCs w:val="18"/>
              </w:rPr>
            </w:pPr>
            <w:r w:rsidRPr="009549EF">
              <w:rPr>
                <w:b/>
                <w:bCs/>
                <w:color w:val="000000"/>
                <w:sz w:val="18"/>
                <w:szCs w:val="18"/>
              </w:rPr>
              <w:t>Sex</w:t>
            </w:r>
          </w:p>
        </w:tc>
        <w:tc>
          <w:tcPr>
            <w:tcW w:w="1058" w:type="dxa"/>
            <w:shd w:val="clear" w:color="auto" w:fill="FFFFFF" w:themeFill="background1"/>
            <w:hideMark/>
          </w:tcPr>
          <w:p w:rsidR="007063DF" w:rsidRPr="009549EF" w:rsidRDefault="007063DF" w:rsidP="007063DF">
            <w:pPr>
              <w:pStyle w:val="BodyText"/>
              <w:rPr>
                <w:sz w:val="18"/>
                <w:szCs w:val="18"/>
              </w:rPr>
            </w:pPr>
            <w:r w:rsidRPr="009549EF">
              <w:rPr>
                <w:sz w:val="18"/>
                <w:szCs w:val="18"/>
              </w:rPr>
              <w:t>559</w:t>
            </w:r>
          </w:p>
        </w:tc>
        <w:tc>
          <w:tcPr>
            <w:tcW w:w="993" w:type="dxa"/>
            <w:shd w:val="clear" w:color="auto" w:fill="FFFFFF" w:themeFill="background1"/>
            <w:hideMark/>
          </w:tcPr>
          <w:p w:rsidR="007063DF" w:rsidRPr="009549EF" w:rsidRDefault="007063DF" w:rsidP="007063DF">
            <w:pPr>
              <w:pStyle w:val="BodyText"/>
              <w:rPr>
                <w:sz w:val="18"/>
                <w:szCs w:val="18"/>
              </w:rPr>
            </w:pPr>
            <w:r w:rsidRPr="009549EF">
              <w:rPr>
                <w:sz w:val="18"/>
                <w:szCs w:val="18"/>
              </w:rPr>
              <w:t>447</w:t>
            </w:r>
          </w:p>
        </w:tc>
        <w:tc>
          <w:tcPr>
            <w:tcW w:w="992" w:type="dxa"/>
            <w:shd w:val="clear" w:color="auto" w:fill="FFFFFF" w:themeFill="background1"/>
            <w:hideMark/>
          </w:tcPr>
          <w:p w:rsidR="007063DF" w:rsidRPr="009549EF" w:rsidRDefault="007063DF" w:rsidP="007063DF">
            <w:pPr>
              <w:pStyle w:val="BodyText"/>
              <w:rPr>
                <w:sz w:val="18"/>
                <w:szCs w:val="18"/>
              </w:rPr>
            </w:pPr>
            <w:r w:rsidRPr="009549EF">
              <w:rPr>
                <w:sz w:val="18"/>
                <w:szCs w:val="18"/>
              </w:rPr>
              <w:t>418</w:t>
            </w:r>
          </w:p>
        </w:tc>
        <w:tc>
          <w:tcPr>
            <w:tcW w:w="1417" w:type="dxa"/>
            <w:shd w:val="clear" w:color="auto" w:fill="FFFFFF" w:themeFill="background1"/>
            <w:hideMark/>
          </w:tcPr>
          <w:p w:rsidR="007063DF" w:rsidRPr="009549EF" w:rsidRDefault="007063DF" w:rsidP="007063DF">
            <w:pPr>
              <w:pStyle w:val="BodyText"/>
              <w:rPr>
                <w:sz w:val="18"/>
                <w:szCs w:val="18"/>
              </w:rPr>
            </w:pPr>
            <w:r w:rsidRPr="009549EF">
              <w:rPr>
                <w:sz w:val="18"/>
                <w:szCs w:val="18"/>
              </w:rPr>
              <w:t>1424</w:t>
            </w:r>
          </w:p>
        </w:tc>
      </w:tr>
      <w:tr w:rsidR="009549EF" w:rsidRPr="009549EF" w:rsidTr="00C30441">
        <w:trPr>
          <w:trHeight w:val="412"/>
        </w:trPr>
        <w:tc>
          <w:tcPr>
            <w:tcW w:w="5240" w:type="dxa"/>
            <w:shd w:val="clear" w:color="auto" w:fill="FFFFFF" w:themeFill="background1"/>
            <w:hideMark/>
          </w:tcPr>
          <w:p w:rsidR="007063DF" w:rsidRPr="009549EF" w:rsidRDefault="007063DF" w:rsidP="007063DF">
            <w:pPr>
              <w:pStyle w:val="BodyText"/>
              <w:rPr>
                <w:b/>
                <w:bCs/>
                <w:color w:val="000000"/>
                <w:sz w:val="18"/>
                <w:szCs w:val="18"/>
              </w:rPr>
            </w:pPr>
            <w:r w:rsidRPr="009549EF">
              <w:rPr>
                <w:b/>
                <w:bCs/>
                <w:color w:val="000000"/>
                <w:sz w:val="18"/>
                <w:szCs w:val="18"/>
              </w:rPr>
              <w:t>Sexual harassment</w:t>
            </w:r>
          </w:p>
        </w:tc>
        <w:tc>
          <w:tcPr>
            <w:tcW w:w="1058" w:type="dxa"/>
            <w:shd w:val="clear" w:color="auto" w:fill="FFFFFF" w:themeFill="background1"/>
            <w:hideMark/>
          </w:tcPr>
          <w:p w:rsidR="007063DF" w:rsidRPr="009549EF" w:rsidRDefault="007063DF" w:rsidP="007063DF">
            <w:pPr>
              <w:pStyle w:val="BodyText"/>
              <w:rPr>
                <w:sz w:val="18"/>
                <w:szCs w:val="18"/>
              </w:rPr>
            </w:pPr>
            <w:r w:rsidRPr="009549EF">
              <w:rPr>
                <w:sz w:val="18"/>
                <w:szCs w:val="18"/>
              </w:rPr>
              <w:t>371</w:t>
            </w:r>
          </w:p>
        </w:tc>
        <w:tc>
          <w:tcPr>
            <w:tcW w:w="993" w:type="dxa"/>
            <w:shd w:val="clear" w:color="auto" w:fill="FFFFFF" w:themeFill="background1"/>
            <w:hideMark/>
          </w:tcPr>
          <w:p w:rsidR="007063DF" w:rsidRPr="009549EF" w:rsidRDefault="007063DF" w:rsidP="007063DF">
            <w:pPr>
              <w:pStyle w:val="BodyText"/>
              <w:rPr>
                <w:sz w:val="18"/>
                <w:szCs w:val="18"/>
              </w:rPr>
            </w:pPr>
            <w:r w:rsidRPr="009549EF">
              <w:rPr>
                <w:sz w:val="18"/>
                <w:szCs w:val="18"/>
              </w:rPr>
              <w:t>432</w:t>
            </w:r>
          </w:p>
        </w:tc>
        <w:tc>
          <w:tcPr>
            <w:tcW w:w="992" w:type="dxa"/>
            <w:shd w:val="clear" w:color="auto" w:fill="FFFFFF" w:themeFill="background1"/>
            <w:hideMark/>
          </w:tcPr>
          <w:p w:rsidR="007063DF" w:rsidRPr="009549EF" w:rsidRDefault="007063DF" w:rsidP="007063DF">
            <w:pPr>
              <w:pStyle w:val="BodyText"/>
              <w:rPr>
                <w:sz w:val="18"/>
                <w:szCs w:val="18"/>
              </w:rPr>
            </w:pPr>
            <w:r w:rsidRPr="009549EF">
              <w:rPr>
                <w:sz w:val="18"/>
                <w:szCs w:val="18"/>
              </w:rPr>
              <w:t>374</w:t>
            </w:r>
          </w:p>
        </w:tc>
        <w:tc>
          <w:tcPr>
            <w:tcW w:w="1417" w:type="dxa"/>
            <w:shd w:val="clear" w:color="auto" w:fill="FFFFFF" w:themeFill="background1"/>
            <w:hideMark/>
          </w:tcPr>
          <w:p w:rsidR="007063DF" w:rsidRPr="009549EF" w:rsidRDefault="007063DF" w:rsidP="007063DF">
            <w:pPr>
              <w:pStyle w:val="BodyText"/>
              <w:rPr>
                <w:sz w:val="18"/>
                <w:szCs w:val="18"/>
              </w:rPr>
            </w:pPr>
            <w:r w:rsidRPr="009549EF">
              <w:rPr>
                <w:sz w:val="18"/>
                <w:szCs w:val="18"/>
              </w:rPr>
              <w:t>1177</w:t>
            </w:r>
          </w:p>
        </w:tc>
      </w:tr>
      <w:tr w:rsidR="009549EF" w:rsidRPr="009549EF" w:rsidTr="00C30441">
        <w:trPr>
          <w:trHeight w:val="412"/>
        </w:trPr>
        <w:tc>
          <w:tcPr>
            <w:tcW w:w="5240" w:type="dxa"/>
            <w:shd w:val="clear" w:color="auto" w:fill="FFFFFF" w:themeFill="background1"/>
            <w:hideMark/>
          </w:tcPr>
          <w:p w:rsidR="007063DF" w:rsidRPr="009549EF" w:rsidRDefault="007063DF" w:rsidP="007063DF">
            <w:pPr>
              <w:pStyle w:val="BodyText"/>
              <w:rPr>
                <w:b/>
                <w:bCs/>
                <w:color w:val="000000"/>
                <w:sz w:val="18"/>
                <w:szCs w:val="18"/>
              </w:rPr>
            </w:pPr>
            <w:r w:rsidRPr="009549EF">
              <w:rPr>
                <w:b/>
                <w:bCs/>
                <w:color w:val="000000"/>
                <w:sz w:val="18"/>
                <w:szCs w:val="18"/>
              </w:rPr>
              <w:t>Sexual orientation</w:t>
            </w:r>
          </w:p>
        </w:tc>
        <w:tc>
          <w:tcPr>
            <w:tcW w:w="1058" w:type="dxa"/>
            <w:shd w:val="clear" w:color="auto" w:fill="FFFFFF" w:themeFill="background1"/>
            <w:hideMark/>
          </w:tcPr>
          <w:p w:rsidR="007063DF" w:rsidRPr="009549EF" w:rsidRDefault="007063DF" w:rsidP="007063DF">
            <w:pPr>
              <w:pStyle w:val="BodyText"/>
              <w:rPr>
                <w:sz w:val="18"/>
                <w:szCs w:val="18"/>
              </w:rPr>
            </w:pPr>
            <w:r w:rsidRPr="009549EF">
              <w:rPr>
                <w:sz w:val="18"/>
                <w:szCs w:val="18"/>
              </w:rPr>
              <w:t>98</w:t>
            </w:r>
          </w:p>
        </w:tc>
        <w:tc>
          <w:tcPr>
            <w:tcW w:w="993" w:type="dxa"/>
            <w:shd w:val="clear" w:color="auto" w:fill="FFFFFF" w:themeFill="background1"/>
            <w:hideMark/>
          </w:tcPr>
          <w:p w:rsidR="007063DF" w:rsidRPr="009549EF" w:rsidRDefault="007063DF" w:rsidP="007063DF">
            <w:pPr>
              <w:pStyle w:val="BodyText"/>
              <w:rPr>
                <w:sz w:val="18"/>
                <w:szCs w:val="18"/>
              </w:rPr>
            </w:pPr>
            <w:r w:rsidRPr="009549EF">
              <w:rPr>
                <w:sz w:val="18"/>
                <w:szCs w:val="18"/>
              </w:rPr>
              <w:t>138</w:t>
            </w:r>
          </w:p>
        </w:tc>
        <w:tc>
          <w:tcPr>
            <w:tcW w:w="992" w:type="dxa"/>
            <w:shd w:val="clear" w:color="auto" w:fill="FFFFFF" w:themeFill="background1"/>
            <w:hideMark/>
          </w:tcPr>
          <w:p w:rsidR="007063DF" w:rsidRPr="009549EF" w:rsidRDefault="007063DF" w:rsidP="007063DF">
            <w:pPr>
              <w:pStyle w:val="BodyText"/>
              <w:rPr>
                <w:sz w:val="18"/>
                <w:szCs w:val="18"/>
              </w:rPr>
            </w:pPr>
            <w:r w:rsidRPr="009549EF">
              <w:rPr>
                <w:sz w:val="18"/>
                <w:szCs w:val="18"/>
              </w:rPr>
              <w:t>101</w:t>
            </w:r>
          </w:p>
        </w:tc>
        <w:tc>
          <w:tcPr>
            <w:tcW w:w="1417" w:type="dxa"/>
            <w:shd w:val="clear" w:color="auto" w:fill="FFFFFF" w:themeFill="background1"/>
            <w:hideMark/>
          </w:tcPr>
          <w:p w:rsidR="007063DF" w:rsidRPr="009549EF" w:rsidRDefault="007063DF" w:rsidP="007063DF">
            <w:pPr>
              <w:pStyle w:val="BodyText"/>
              <w:rPr>
                <w:sz w:val="18"/>
                <w:szCs w:val="18"/>
              </w:rPr>
            </w:pPr>
            <w:r w:rsidRPr="009549EF">
              <w:rPr>
                <w:sz w:val="18"/>
                <w:szCs w:val="18"/>
              </w:rPr>
              <w:t>337</w:t>
            </w:r>
          </w:p>
        </w:tc>
      </w:tr>
      <w:tr w:rsidR="009549EF" w:rsidRPr="009549EF" w:rsidTr="00C30441">
        <w:trPr>
          <w:trHeight w:val="412"/>
        </w:trPr>
        <w:tc>
          <w:tcPr>
            <w:tcW w:w="5240" w:type="dxa"/>
            <w:shd w:val="clear" w:color="auto" w:fill="FFFFFF" w:themeFill="background1"/>
            <w:hideMark/>
          </w:tcPr>
          <w:p w:rsidR="007063DF" w:rsidRPr="009549EF" w:rsidRDefault="007063DF" w:rsidP="007063DF">
            <w:pPr>
              <w:pStyle w:val="BodyText"/>
              <w:rPr>
                <w:b/>
                <w:bCs/>
                <w:color w:val="000000"/>
                <w:sz w:val="18"/>
                <w:szCs w:val="18"/>
              </w:rPr>
            </w:pPr>
            <w:r w:rsidRPr="009549EF">
              <w:rPr>
                <w:b/>
                <w:bCs/>
                <w:color w:val="000000"/>
                <w:sz w:val="18"/>
                <w:szCs w:val="18"/>
              </w:rPr>
              <w:t>Tenancy</w:t>
            </w:r>
          </w:p>
        </w:tc>
        <w:tc>
          <w:tcPr>
            <w:tcW w:w="1058" w:type="dxa"/>
            <w:shd w:val="clear" w:color="auto" w:fill="FFFFFF" w:themeFill="background1"/>
            <w:hideMark/>
          </w:tcPr>
          <w:p w:rsidR="007063DF" w:rsidRPr="009549EF" w:rsidRDefault="007063DF" w:rsidP="007063DF">
            <w:pPr>
              <w:pStyle w:val="BodyText"/>
              <w:rPr>
                <w:sz w:val="18"/>
                <w:szCs w:val="18"/>
              </w:rPr>
            </w:pPr>
            <w:r w:rsidRPr="009549EF">
              <w:rPr>
                <w:sz w:val="18"/>
                <w:szCs w:val="18"/>
              </w:rPr>
              <w:t>125</w:t>
            </w:r>
          </w:p>
        </w:tc>
        <w:tc>
          <w:tcPr>
            <w:tcW w:w="993" w:type="dxa"/>
            <w:shd w:val="clear" w:color="auto" w:fill="FFFFFF" w:themeFill="background1"/>
            <w:hideMark/>
          </w:tcPr>
          <w:p w:rsidR="007063DF" w:rsidRPr="009549EF" w:rsidRDefault="007063DF" w:rsidP="007063DF">
            <w:pPr>
              <w:pStyle w:val="BodyText"/>
              <w:rPr>
                <w:sz w:val="18"/>
                <w:szCs w:val="18"/>
              </w:rPr>
            </w:pPr>
            <w:r w:rsidRPr="009549EF">
              <w:rPr>
                <w:sz w:val="18"/>
                <w:szCs w:val="18"/>
              </w:rPr>
              <w:t>89</w:t>
            </w:r>
          </w:p>
        </w:tc>
        <w:tc>
          <w:tcPr>
            <w:tcW w:w="992" w:type="dxa"/>
            <w:shd w:val="clear" w:color="auto" w:fill="FFFFFF" w:themeFill="background1"/>
            <w:hideMark/>
          </w:tcPr>
          <w:p w:rsidR="007063DF" w:rsidRPr="009549EF" w:rsidRDefault="007063DF" w:rsidP="007063DF">
            <w:pPr>
              <w:pStyle w:val="BodyText"/>
              <w:rPr>
                <w:sz w:val="18"/>
                <w:szCs w:val="18"/>
              </w:rPr>
            </w:pPr>
            <w:r w:rsidRPr="009549EF">
              <w:rPr>
                <w:sz w:val="18"/>
                <w:szCs w:val="18"/>
              </w:rPr>
              <w:t>81</w:t>
            </w:r>
          </w:p>
        </w:tc>
        <w:tc>
          <w:tcPr>
            <w:tcW w:w="1417" w:type="dxa"/>
            <w:shd w:val="clear" w:color="auto" w:fill="FFFFFF" w:themeFill="background1"/>
            <w:hideMark/>
          </w:tcPr>
          <w:p w:rsidR="007063DF" w:rsidRPr="009549EF" w:rsidRDefault="007063DF" w:rsidP="007063DF">
            <w:pPr>
              <w:pStyle w:val="BodyText"/>
              <w:rPr>
                <w:sz w:val="18"/>
                <w:szCs w:val="18"/>
              </w:rPr>
            </w:pPr>
            <w:r w:rsidRPr="009549EF">
              <w:rPr>
                <w:sz w:val="18"/>
                <w:szCs w:val="18"/>
              </w:rPr>
              <w:t>295</w:t>
            </w:r>
          </w:p>
        </w:tc>
      </w:tr>
      <w:tr w:rsidR="009549EF" w:rsidRPr="009549EF" w:rsidTr="00C30441">
        <w:trPr>
          <w:trHeight w:val="412"/>
        </w:trPr>
        <w:tc>
          <w:tcPr>
            <w:tcW w:w="5240" w:type="dxa"/>
            <w:shd w:val="clear" w:color="auto" w:fill="FFFFFF" w:themeFill="background1"/>
            <w:hideMark/>
          </w:tcPr>
          <w:p w:rsidR="007063DF" w:rsidRPr="009549EF" w:rsidRDefault="007063DF" w:rsidP="007063DF">
            <w:pPr>
              <w:pStyle w:val="BodyText"/>
              <w:rPr>
                <w:b/>
                <w:bCs/>
                <w:color w:val="000000"/>
                <w:sz w:val="18"/>
                <w:szCs w:val="18"/>
              </w:rPr>
            </w:pPr>
            <w:r w:rsidRPr="009549EF">
              <w:rPr>
                <w:b/>
                <w:bCs/>
                <w:color w:val="000000"/>
                <w:sz w:val="18"/>
                <w:szCs w:val="18"/>
              </w:rPr>
              <w:t>Training requests</w:t>
            </w:r>
          </w:p>
        </w:tc>
        <w:tc>
          <w:tcPr>
            <w:tcW w:w="1058" w:type="dxa"/>
            <w:shd w:val="clear" w:color="auto" w:fill="FFFFFF" w:themeFill="background1"/>
            <w:hideMark/>
          </w:tcPr>
          <w:p w:rsidR="007063DF" w:rsidRPr="009549EF" w:rsidRDefault="007063DF" w:rsidP="007063DF">
            <w:pPr>
              <w:pStyle w:val="BodyText"/>
              <w:rPr>
                <w:sz w:val="18"/>
                <w:szCs w:val="18"/>
              </w:rPr>
            </w:pPr>
            <w:r w:rsidRPr="009549EF">
              <w:rPr>
                <w:sz w:val="18"/>
                <w:szCs w:val="18"/>
              </w:rPr>
              <w:t>61</w:t>
            </w:r>
          </w:p>
        </w:tc>
        <w:tc>
          <w:tcPr>
            <w:tcW w:w="993" w:type="dxa"/>
            <w:shd w:val="clear" w:color="auto" w:fill="FFFFFF" w:themeFill="background1"/>
            <w:hideMark/>
          </w:tcPr>
          <w:p w:rsidR="007063DF" w:rsidRPr="009549EF" w:rsidRDefault="007063DF" w:rsidP="007063DF">
            <w:pPr>
              <w:pStyle w:val="BodyText"/>
              <w:rPr>
                <w:sz w:val="18"/>
                <w:szCs w:val="18"/>
              </w:rPr>
            </w:pPr>
            <w:r w:rsidRPr="009549EF">
              <w:rPr>
                <w:sz w:val="18"/>
                <w:szCs w:val="18"/>
              </w:rPr>
              <w:t>41</w:t>
            </w:r>
          </w:p>
        </w:tc>
        <w:tc>
          <w:tcPr>
            <w:tcW w:w="992" w:type="dxa"/>
            <w:shd w:val="clear" w:color="auto" w:fill="FFFFFF" w:themeFill="background1"/>
            <w:hideMark/>
          </w:tcPr>
          <w:p w:rsidR="007063DF" w:rsidRPr="009549EF" w:rsidRDefault="007063DF" w:rsidP="007063DF">
            <w:pPr>
              <w:pStyle w:val="BodyText"/>
              <w:rPr>
                <w:sz w:val="18"/>
                <w:szCs w:val="18"/>
              </w:rPr>
            </w:pPr>
            <w:r w:rsidRPr="009549EF">
              <w:rPr>
                <w:sz w:val="18"/>
                <w:szCs w:val="18"/>
              </w:rPr>
              <w:t>25</w:t>
            </w:r>
          </w:p>
        </w:tc>
        <w:tc>
          <w:tcPr>
            <w:tcW w:w="1417" w:type="dxa"/>
            <w:shd w:val="clear" w:color="auto" w:fill="FFFFFF" w:themeFill="background1"/>
            <w:hideMark/>
          </w:tcPr>
          <w:p w:rsidR="007063DF" w:rsidRPr="009549EF" w:rsidRDefault="007063DF" w:rsidP="007063DF">
            <w:pPr>
              <w:pStyle w:val="BodyText"/>
              <w:rPr>
                <w:sz w:val="18"/>
                <w:szCs w:val="18"/>
              </w:rPr>
            </w:pPr>
            <w:r w:rsidRPr="009549EF">
              <w:rPr>
                <w:sz w:val="18"/>
                <w:szCs w:val="18"/>
              </w:rPr>
              <w:t>127</w:t>
            </w:r>
          </w:p>
        </w:tc>
      </w:tr>
      <w:tr w:rsidR="009549EF" w:rsidRPr="009549EF" w:rsidTr="00C30441">
        <w:trPr>
          <w:trHeight w:val="412"/>
        </w:trPr>
        <w:tc>
          <w:tcPr>
            <w:tcW w:w="5240" w:type="dxa"/>
            <w:shd w:val="clear" w:color="auto" w:fill="FFFFFF" w:themeFill="background1"/>
            <w:hideMark/>
          </w:tcPr>
          <w:p w:rsidR="007063DF" w:rsidRPr="009549EF" w:rsidRDefault="007063DF" w:rsidP="007063DF">
            <w:pPr>
              <w:pStyle w:val="BodyText"/>
              <w:rPr>
                <w:b/>
                <w:bCs/>
                <w:color w:val="000000"/>
                <w:sz w:val="18"/>
                <w:szCs w:val="18"/>
              </w:rPr>
            </w:pPr>
            <w:r w:rsidRPr="009549EF">
              <w:rPr>
                <w:b/>
                <w:bCs/>
                <w:color w:val="000000"/>
                <w:sz w:val="18"/>
                <w:szCs w:val="18"/>
              </w:rPr>
              <w:t>Transport</w:t>
            </w:r>
          </w:p>
        </w:tc>
        <w:tc>
          <w:tcPr>
            <w:tcW w:w="1058" w:type="dxa"/>
            <w:shd w:val="clear" w:color="auto" w:fill="FFFFFF" w:themeFill="background1"/>
            <w:hideMark/>
          </w:tcPr>
          <w:p w:rsidR="007063DF" w:rsidRPr="009549EF" w:rsidRDefault="007063DF" w:rsidP="007063DF">
            <w:pPr>
              <w:pStyle w:val="BodyText"/>
              <w:rPr>
                <w:sz w:val="18"/>
                <w:szCs w:val="18"/>
              </w:rPr>
            </w:pPr>
            <w:r w:rsidRPr="009549EF">
              <w:rPr>
                <w:sz w:val="18"/>
                <w:szCs w:val="18"/>
              </w:rPr>
              <w:t>1</w:t>
            </w:r>
          </w:p>
        </w:tc>
        <w:tc>
          <w:tcPr>
            <w:tcW w:w="993" w:type="dxa"/>
            <w:shd w:val="clear" w:color="auto" w:fill="FFFFFF" w:themeFill="background1"/>
            <w:hideMark/>
          </w:tcPr>
          <w:p w:rsidR="007063DF" w:rsidRPr="009549EF" w:rsidRDefault="007063DF" w:rsidP="007063DF">
            <w:pPr>
              <w:pStyle w:val="BodyText"/>
              <w:rPr>
                <w:sz w:val="18"/>
                <w:szCs w:val="18"/>
              </w:rPr>
            </w:pPr>
            <w:r w:rsidRPr="009549EF">
              <w:rPr>
                <w:sz w:val="18"/>
                <w:szCs w:val="18"/>
              </w:rPr>
              <w:t>4</w:t>
            </w:r>
          </w:p>
        </w:tc>
        <w:tc>
          <w:tcPr>
            <w:tcW w:w="992" w:type="dxa"/>
            <w:shd w:val="clear" w:color="auto" w:fill="FFFFFF" w:themeFill="background1"/>
            <w:hideMark/>
          </w:tcPr>
          <w:p w:rsidR="007063DF" w:rsidRPr="009549EF" w:rsidRDefault="007063DF" w:rsidP="007063DF">
            <w:pPr>
              <w:pStyle w:val="BodyText"/>
              <w:rPr>
                <w:sz w:val="18"/>
                <w:szCs w:val="18"/>
              </w:rPr>
            </w:pPr>
            <w:r w:rsidRPr="009549EF">
              <w:rPr>
                <w:sz w:val="18"/>
                <w:szCs w:val="18"/>
              </w:rPr>
              <w:t> </w:t>
            </w:r>
          </w:p>
        </w:tc>
        <w:tc>
          <w:tcPr>
            <w:tcW w:w="1417" w:type="dxa"/>
            <w:shd w:val="clear" w:color="auto" w:fill="FFFFFF" w:themeFill="background1"/>
            <w:hideMark/>
          </w:tcPr>
          <w:p w:rsidR="007063DF" w:rsidRPr="009549EF" w:rsidRDefault="007063DF" w:rsidP="007063DF">
            <w:pPr>
              <w:pStyle w:val="BodyText"/>
              <w:rPr>
                <w:sz w:val="18"/>
                <w:szCs w:val="18"/>
              </w:rPr>
            </w:pPr>
            <w:r w:rsidRPr="009549EF">
              <w:rPr>
                <w:sz w:val="18"/>
                <w:szCs w:val="18"/>
              </w:rPr>
              <w:t>5</w:t>
            </w:r>
          </w:p>
        </w:tc>
      </w:tr>
      <w:tr w:rsidR="009549EF" w:rsidRPr="009549EF" w:rsidTr="00C30441">
        <w:trPr>
          <w:trHeight w:val="412"/>
        </w:trPr>
        <w:tc>
          <w:tcPr>
            <w:tcW w:w="5240" w:type="dxa"/>
            <w:shd w:val="clear" w:color="auto" w:fill="FFFFFF" w:themeFill="background1"/>
            <w:hideMark/>
          </w:tcPr>
          <w:p w:rsidR="007063DF" w:rsidRPr="009549EF" w:rsidRDefault="007063DF" w:rsidP="007063DF">
            <w:pPr>
              <w:pStyle w:val="BodyText"/>
              <w:rPr>
                <w:b/>
                <w:bCs/>
                <w:color w:val="000000"/>
                <w:sz w:val="18"/>
                <w:szCs w:val="18"/>
              </w:rPr>
            </w:pPr>
            <w:r w:rsidRPr="009549EF">
              <w:rPr>
                <w:b/>
                <w:bCs/>
                <w:color w:val="000000"/>
                <w:sz w:val="18"/>
                <w:szCs w:val="18"/>
              </w:rPr>
              <w:t>Victimisation</w:t>
            </w:r>
          </w:p>
        </w:tc>
        <w:tc>
          <w:tcPr>
            <w:tcW w:w="1058" w:type="dxa"/>
            <w:shd w:val="clear" w:color="auto" w:fill="FFFFFF" w:themeFill="background1"/>
            <w:hideMark/>
          </w:tcPr>
          <w:p w:rsidR="007063DF" w:rsidRPr="009549EF" w:rsidRDefault="007063DF" w:rsidP="007063DF">
            <w:pPr>
              <w:pStyle w:val="BodyText"/>
              <w:rPr>
                <w:sz w:val="18"/>
                <w:szCs w:val="18"/>
              </w:rPr>
            </w:pPr>
            <w:r w:rsidRPr="009549EF">
              <w:rPr>
                <w:sz w:val="18"/>
                <w:szCs w:val="18"/>
              </w:rPr>
              <w:t>300</w:t>
            </w:r>
          </w:p>
        </w:tc>
        <w:tc>
          <w:tcPr>
            <w:tcW w:w="993" w:type="dxa"/>
            <w:shd w:val="clear" w:color="auto" w:fill="FFFFFF" w:themeFill="background1"/>
            <w:hideMark/>
          </w:tcPr>
          <w:p w:rsidR="007063DF" w:rsidRPr="009549EF" w:rsidRDefault="007063DF" w:rsidP="007063DF">
            <w:pPr>
              <w:pStyle w:val="BodyText"/>
              <w:rPr>
                <w:sz w:val="18"/>
                <w:szCs w:val="18"/>
              </w:rPr>
            </w:pPr>
            <w:r w:rsidRPr="009549EF">
              <w:rPr>
                <w:sz w:val="18"/>
                <w:szCs w:val="18"/>
              </w:rPr>
              <w:t>346</w:t>
            </w:r>
          </w:p>
        </w:tc>
        <w:tc>
          <w:tcPr>
            <w:tcW w:w="992" w:type="dxa"/>
            <w:shd w:val="clear" w:color="auto" w:fill="FFFFFF" w:themeFill="background1"/>
            <w:hideMark/>
          </w:tcPr>
          <w:p w:rsidR="007063DF" w:rsidRPr="009549EF" w:rsidRDefault="007063DF" w:rsidP="007063DF">
            <w:pPr>
              <w:pStyle w:val="BodyText"/>
              <w:rPr>
                <w:sz w:val="18"/>
                <w:szCs w:val="18"/>
              </w:rPr>
            </w:pPr>
            <w:r w:rsidRPr="009549EF">
              <w:rPr>
                <w:sz w:val="18"/>
                <w:szCs w:val="18"/>
              </w:rPr>
              <w:t>292</w:t>
            </w:r>
          </w:p>
        </w:tc>
        <w:tc>
          <w:tcPr>
            <w:tcW w:w="1417" w:type="dxa"/>
            <w:shd w:val="clear" w:color="auto" w:fill="FFFFFF" w:themeFill="background1"/>
            <w:hideMark/>
          </w:tcPr>
          <w:p w:rsidR="007063DF" w:rsidRPr="009549EF" w:rsidRDefault="007063DF" w:rsidP="007063DF">
            <w:pPr>
              <w:pStyle w:val="BodyText"/>
              <w:rPr>
                <w:sz w:val="18"/>
                <w:szCs w:val="18"/>
              </w:rPr>
            </w:pPr>
            <w:r w:rsidRPr="009549EF">
              <w:rPr>
                <w:sz w:val="18"/>
                <w:szCs w:val="18"/>
              </w:rPr>
              <w:t>938</w:t>
            </w:r>
          </w:p>
        </w:tc>
      </w:tr>
      <w:tr w:rsidR="009549EF" w:rsidRPr="009549EF" w:rsidTr="00C30441">
        <w:trPr>
          <w:trHeight w:val="412"/>
        </w:trPr>
        <w:tc>
          <w:tcPr>
            <w:tcW w:w="5240" w:type="dxa"/>
            <w:shd w:val="clear" w:color="auto" w:fill="FFFFFF" w:themeFill="background1"/>
            <w:hideMark/>
          </w:tcPr>
          <w:p w:rsidR="007063DF" w:rsidRPr="009549EF" w:rsidRDefault="007063DF" w:rsidP="007063DF">
            <w:pPr>
              <w:pStyle w:val="BodyText"/>
              <w:rPr>
                <w:b/>
                <w:bCs/>
                <w:color w:val="000000"/>
                <w:sz w:val="18"/>
                <w:szCs w:val="18"/>
              </w:rPr>
            </w:pPr>
            <w:r w:rsidRPr="009549EF">
              <w:rPr>
                <w:b/>
                <w:bCs/>
                <w:color w:val="000000"/>
                <w:sz w:val="18"/>
                <w:szCs w:val="18"/>
              </w:rPr>
              <w:t>WorkCover</w:t>
            </w:r>
          </w:p>
        </w:tc>
        <w:tc>
          <w:tcPr>
            <w:tcW w:w="1058" w:type="dxa"/>
            <w:shd w:val="clear" w:color="auto" w:fill="FFFFFF" w:themeFill="background1"/>
            <w:hideMark/>
          </w:tcPr>
          <w:p w:rsidR="007063DF" w:rsidRPr="009549EF" w:rsidRDefault="007063DF" w:rsidP="007063DF">
            <w:pPr>
              <w:pStyle w:val="BodyText"/>
              <w:rPr>
                <w:sz w:val="18"/>
                <w:szCs w:val="18"/>
              </w:rPr>
            </w:pPr>
            <w:r w:rsidRPr="009549EF">
              <w:rPr>
                <w:sz w:val="18"/>
                <w:szCs w:val="18"/>
              </w:rPr>
              <w:t>9</w:t>
            </w:r>
          </w:p>
        </w:tc>
        <w:tc>
          <w:tcPr>
            <w:tcW w:w="993" w:type="dxa"/>
            <w:shd w:val="clear" w:color="auto" w:fill="FFFFFF" w:themeFill="background1"/>
            <w:hideMark/>
          </w:tcPr>
          <w:p w:rsidR="007063DF" w:rsidRPr="009549EF" w:rsidRDefault="007063DF" w:rsidP="007063DF">
            <w:pPr>
              <w:pStyle w:val="BodyText"/>
              <w:rPr>
                <w:sz w:val="18"/>
                <w:szCs w:val="18"/>
              </w:rPr>
            </w:pPr>
            <w:r w:rsidRPr="009549EF">
              <w:rPr>
                <w:sz w:val="18"/>
                <w:szCs w:val="18"/>
              </w:rPr>
              <w:t>4</w:t>
            </w:r>
          </w:p>
        </w:tc>
        <w:tc>
          <w:tcPr>
            <w:tcW w:w="992" w:type="dxa"/>
            <w:shd w:val="clear" w:color="auto" w:fill="FFFFFF" w:themeFill="background1"/>
            <w:hideMark/>
          </w:tcPr>
          <w:p w:rsidR="007063DF" w:rsidRPr="009549EF" w:rsidRDefault="007063DF" w:rsidP="007063DF">
            <w:pPr>
              <w:pStyle w:val="BodyText"/>
              <w:rPr>
                <w:sz w:val="18"/>
                <w:szCs w:val="18"/>
              </w:rPr>
            </w:pPr>
            <w:r w:rsidRPr="009549EF">
              <w:rPr>
                <w:sz w:val="18"/>
                <w:szCs w:val="18"/>
              </w:rPr>
              <w:t>3</w:t>
            </w:r>
          </w:p>
        </w:tc>
        <w:tc>
          <w:tcPr>
            <w:tcW w:w="1417" w:type="dxa"/>
            <w:shd w:val="clear" w:color="auto" w:fill="FFFFFF" w:themeFill="background1"/>
            <w:hideMark/>
          </w:tcPr>
          <w:p w:rsidR="007063DF" w:rsidRPr="009549EF" w:rsidRDefault="007063DF" w:rsidP="007063DF">
            <w:pPr>
              <w:pStyle w:val="BodyText"/>
              <w:rPr>
                <w:sz w:val="18"/>
                <w:szCs w:val="18"/>
              </w:rPr>
            </w:pPr>
            <w:r w:rsidRPr="009549EF">
              <w:rPr>
                <w:sz w:val="18"/>
                <w:szCs w:val="18"/>
              </w:rPr>
              <w:t>16</w:t>
            </w:r>
          </w:p>
        </w:tc>
      </w:tr>
      <w:tr w:rsidR="009549EF" w:rsidRPr="009549EF" w:rsidTr="00C30441">
        <w:trPr>
          <w:trHeight w:val="85"/>
        </w:trPr>
        <w:tc>
          <w:tcPr>
            <w:tcW w:w="5240" w:type="dxa"/>
            <w:shd w:val="clear" w:color="auto" w:fill="FFFFFF" w:themeFill="background1"/>
            <w:hideMark/>
          </w:tcPr>
          <w:p w:rsidR="007063DF" w:rsidRPr="009549EF" w:rsidRDefault="007063DF" w:rsidP="007063DF">
            <w:pPr>
              <w:pStyle w:val="BodyText"/>
              <w:rPr>
                <w:b/>
                <w:bCs/>
                <w:sz w:val="18"/>
                <w:szCs w:val="18"/>
              </w:rPr>
            </w:pPr>
            <w:r w:rsidRPr="009549EF">
              <w:rPr>
                <w:b/>
                <w:bCs/>
                <w:sz w:val="18"/>
                <w:szCs w:val="18"/>
              </w:rPr>
              <w:t>Total</w:t>
            </w:r>
          </w:p>
        </w:tc>
        <w:tc>
          <w:tcPr>
            <w:tcW w:w="1058" w:type="dxa"/>
            <w:shd w:val="clear" w:color="auto" w:fill="FFFFFF" w:themeFill="background1"/>
            <w:hideMark/>
          </w:tcPr>
          <w:p w:rsidR="007063DF" w:rsidRPr="009549EF" w:rsidRDefault="007063DF" w:rsidP="007063DF">
            <w:pPr>
              <w:pStyle w:val="BodyText"/>
              <w:rPr>
                <w:b/>
                <w:sz w:val="18"/>
                <w:szCs w:val="18"/>
              </w:rPr>
            </w:pPr>
            <w:r w:rsidRPr="009549EF">
              <w:rPr>
                <w:b/>
                <w:sz w:val="18"/>
                <w:szCs w:val="18"/>
              </w:rPr>
              <w:t>11210</w:t>
            </w:r>
          </w:p>
        </w:tc>
        <w:tc>
          <w:tcPr>
            <w:tcW w:w="993" w:type="dxa"/>
            <w:shd w:val="clear" w:color="auto" w:fill="FFFFFF" w:themeFill="background1"/>
            <w:hideMark/>
          </w:tcPr>
          <w:p w:rsidR="007063DF" w:rsidRPr="009549EF" w:rsidRDefault="007063DF" w:rsidP="007063DF">
            <w:pPr>
              <w:pStyle w:val="BodyText"/>
              <w:rPr>
                <w:b/>
                <w:sz w:val="18"/>
                <w:szCs w:val="18"/>
              </w:rPr>
            </w:pPr>
            <w:r w:rsidRPr="009549EF">
              <w:rPr>
                <w:b/>
                <w:sz w:val="18"/>
                <w:szCs w:val="18"/>
              </w:rPr>
              <w:t>10675</w:t>
            </w:r>
          </w:p>
        </w:tc>
        <w:tc>
          <w:tcPr>
            <w:tcW w:w="992" w:type="dxa"/>
            <w:shd w:val="clear" w:color="auto" w:fill="FFFFFF" w:themeFill="background1"/>
            <w:hideMark/>
          </w:tcPr>
          <w:p w:rsidR="007063DF" w:rsidRPr="009549EF" w:rsidRDefault="007063DF" w:rsidP="007063DF">
            <w:pPr>
              <w:pStyle w:val="BodyText"/>
              <w:rPr>
                <w:b/>
                <w:sz w:val="18"/>
                <w:szCs w:val="18"/>
              </w:rPr>
            </w:pPr>
            <w:r w:rsidRPr="009549EF">
              <w:rPr>
                <w:b/>
                <w:sz w:val="18"/>
                <w:szCs w:val="18"/>
              </w:rPr>
              <w:t>9868</w:t>
            </w:r>
          </w:p>
        </w:tc>
        <w:tc>
          <w:tcPr>
            <w:tcW w:w="1417" w:type="dxa"/>
            <w:shd w:val="clear" w:color="auto" w:fill="FFFFFF" w:themeFill="background1"/>
            <w:hideMark/>
          </w:tcPr>
          <w:p w:rsidR="007063DF" w:rsidRPr="009549EF" w:rsidRDefault="007063DF" w:rsidP="007063DF">
            <w:pPr>
              <w:pStyle w:val="BodyText"/>
              <w:rPr>
                <w:b/>
                <w:sz w:val="18"/>
                <w:szCs w:val="18"/>
              </w:rPr>
            </w:pPr>
            <w:r w:rsidRPr="009549EF">
              <w:rPr>
                <w:b/>
                <w:sz w:val="18"/>
                <w:szCs w:val="18"/>
              </w:rPr>
              <w:t>30528</w:t>
            </w:r>
          </w:p>
        </w:tc>
      </w:tr>
      <w:bookmarkEnd w:id="0"/>
    </w:tbl>
    <w:p w:rsidR="00D75F90" w:rsidRDefault="00D75F90" w:rsidP="00D75F90">
      <w:pPr>
        <w:spacing w:after="200" w:line="276" w:lineRule="auto"/>
        <w:rPr>
          <w:rFonts w:cs="Arial"/>
          <w:bCs/>
          <w:iCs/>
          <w:sz w:val="28"/>
          <w:szCs w:val="28"/>
          <w:lang w:val="en-GB"/>
        </w:rPr>
      </w:pPr>
    </w:p>
    <w:p w:rsidR="00D75F90" w:rsidRDefault="00D75F90" w:rsidP="00D75F90">
      <w:pPr>
        <w:pStyle w:val="BodyText"/>
      </w:pPr>
      <w:r>
        <w:rPr>
          <w:lang w:val="en-GB"/>
        </w:rPr>
        <w:br w:type="page"/>
      </w:r>
      <w:r w:rsidR="00423442">
        <w:rPr>
          <w:noProof/>
          <w:lang w:eastAsia="en-GB"/>
        </w:rPr>
        <w:lastRenderedPageBreak/>
        <w:pict>
          <v:shape id="Picture 13" o:spid="_x0000_i1028" type="#_x0000_t75" alt="HRC__logo_BW" style="width:168.75pt;height:46.5pt;visibility:visible">
            <v:imagedata r:id="rId20" o:title=""/>
          </v:shape>
        </w:pict>
      </w:r>
    </w:p>
    <w:p w:rsidR="00D75F90" w:rsidRDefault="00D75F90" w:rsidP="00D75F90">
      <w:pPr>
        <w:pStyle w:val="BodyText"/>
      </w:pPr>
    </w:p>
    <w:p w:rsidR="00D75F90" w:rsidRDefault="00D75F90" w:rsidP="00D75F90">
      <w:pPr>
        <w:pStyle w:val="BodyText"/>
      </w:pPr>
      <w:r w:rsidRPr="00902D12">
        <w:rPr>
          <w:rStyle w:val="Characterbold"/>
          <w:lang w:eastAsia="en-US"/>
        </w:rPr>
        <w:t>Contact us</w:t>
      </w:r>
    </w:p>
    <w:p w:rsidR="00D75F90" w:rsidRDefault="00D75F90" w:rsidP="00D75F90">
      <w:pPr>
        <w:pStyle w:val="BodyText"/>
        <w:spacing w:before="120" w:line="260" w:lineRule="atLeast"/>
      </w:pPr>
      <w:r>
        <w:t xml:space="preserve">Enquiry Line </w:t>
      </w:r>
      <w:r>
        <w:tab/>
      </w:r>
      <w:r>
        <w:tab/>
      </w:r>
      <w:r>
        <w:tab/>
        <w:t>1300 292 153 or (03) 9032 3583</w:t>
      </w:r>
      <w:r>
        <w:br/>
        <w:t>Fax</w:t>
      </w:r>
      <w:r>
        <w:tab/>
      </w:r>
      <w:r>
        <w:tab/>
      </w:r>
      <w:r>
        <w:tab/>
      </w:r>
      <w:r>
        <w:tab/>
        <w:t>1300 891 858</w:t>
      </w:r>
      <w:r>
        <w:br/>
        <w:t>Hearing impaired (TTY)</w:t>
      </w:r>
      <w:r>
        <w:tab/>
        <w:t>1300 289 621</w:t>
      </w:r>
      <w:r>
        <w:br/>
        <w:t>Interpreters</w:t>
      </w:r>
      <w:r>
        <w:tab/>
      </w:r>
      <w:r>
        <w:tab/>
      </w:r>
      <w:r>
        <w:tab/>
        <w:t>1300 152 494</w:t>
      </w:r>
      <w:r>
        <w:br/>
        <w:t>Email</w:t>
      </w:r>
      <w:r>
        <w:tab/>
      </w:r>
      <w:r>
        <w:tab/>
      </w:r>
      <w:r>
        <w:tab/>
      </w:r>
      <w:r>
        <w:tab/>
      </w:r>
      <w:hyperlink r:id="rId21" w:history="1">
        <w:r w:rsidRPr="000B6AEF">
          <w:rPr>
            <w:rStyle w:val="Hyperlink"/>
          </w:rPr>
          <w:t>enquiries@veohrc.vic.gov.au</w:t>
        </w:r>
      </w:hyperlink>
      <w:r>
        <w:br/>
        <w:t>Website</w:t>
      </w:r>
      <w:r>
        <w:tab/>
      </w:r>
      <w:r>
        <w:tab/>
      </w:r>
      <w:r>
        <w:tab/>
      </w:r>
      <w:hyperlink r:id="rId22" w:history="1">
        <w:r w:rsidRPr="00AF44F2">
          <w:rPr>
            <w:rStyle w:val="Hyperlink"/>
          </w:rPr>
          <w:t>humanrightscommission.vic.gov.au</w:t>
        </w:r>
      </w:hyperlink>
      <w:r>
        <w:br/>
        <w:t>Follow us on Twitter</w:t>
      </w:r>
      <w:r>
        <w:tab/>
      </w:r>
      <w:r>
        <w:tab/>
      </w:r>
      <w:hyperlink r:id="rId23" w:history="1">
        <w:r w:rsidRPr="000B6AEF">
          <w:rPr>
            <w:rStyle w:val="Hyperlink"/>
          </w:rPr>
          <w:t>www.twitter.com/</w:t>
        </w:r>
        <w:r>
          <w:rPr>
            <w:rStyle w:val="Hyperlink"/>
          </w:rPr>
          <w:t>Sample Text</w:t>
        </w:r>
      </w:hyperlink>
      <w:r>
        <w:br/>
        <w:t>Find us at</w:t>
      </w:r>
      <w:r>
        <w:tab/>
      </w:r>
      <w:r>
        <w:tab/>
      </w:r>
      <w:r>
        <w:tab/>
      </w:r>
      <w:hyperlink r:id="rId24" w:history="1">
        <w:r w:rsidRPr="000B6AEF">
          <w:rPr>
            <w:rStyle w:val="Hyperlink"/>
          </w:rPr>
          <w:t>www.facebook.com/</w:t>
        </w:r>
        <w:r>
          <w:rPr>
            <w:rStyle w:val="Hyperlink"/>
          </w:rPr>
          <w:t>Sample Text</w:t>
        </w:r>
      </w:hyperlink>
    </w:p>
    <w:p w:rsidR="00D75F90" w:rsidRDefault="00D75F90" w:rsidP="00D75F90">
      <w:pPr>
        <w:pStyle w:val="BodyText"/>
        <w:rPr>
          <w:lang w:eastAsia="en-GB"/>
        </w:rPr>
      </w:pPr>
    </w:p>
    <w:p w:rsidR="00D75F90" w:rsidRDefault="00D75F90" w:rsidP="00D75F90">
      <w:pPr>
        <w:pStyle w:val="Heading1non-numbered"/>
      </w:pPr>
      <w:r w:rsidRPr="00F43C28">
        <w:t>humanrightscommission.vic.gov.au</w:t>
      </w:r>
    </w:p>
    <w:bookmarkEnd w:id="1"/>
    <w:p w:rsidR="0024051E" w:rsidRPr="00D75F90" w:rsidRDefault="0024051E" w:rsidP="00D75F90">
      <w:pPr>
        <w:pStyle w:val="BodyText"/>
        <w:rPr>
          <w:lang w:val="en-GB"/>
        </w:rPr>
      </w:pPr>
    </w:p>
    <w:sectPr w:rsidR="0024051E" w:rsidRPr="00D75F90" w:rsidSect="007063DF">
      <w:pgSz w:w="11906" w:h="16838" w:code="9"/>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3F56" w:rsidRDefault="00FE3F56">
      <w:pPr>
        <w:spacing w:after="0" w:line="240" w:lineRule="auto"/>
      </w:pPr>
      <w:r>
        <w:separator/>
      </w:r>
    </w:p>
  </w:endnote>
  <w:endnote w:type="continuationSeparator" w:id="0">
    <w:p w:rsidR="00FE3F56" w:rsidRDefault="00FE3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Graphik-Bold">
    <w:altName w:val="Calibri"/>
    <w:panose1 w:val="00000000000000000000"/>
    <w:charset w:val="4D"/>
    <w:family w:val="auto"/>
    <w:notTrueType/>
    <w:pitch w:val="default"/>
    <w:sig w:usb0="00000003" w:usb1="00000000" w:usb2="00000000" w:usb3="00000000" w:csb0="00000001" w:csb1="00000000"/>
  </w:font>
  <w:font w:name="Graphik-Regular">
    <w:altName w:val="Calibri"/>
    <w:panose1 w:val="00000000000000000000"/>
    <w:charset w:val="4D"/>
    <w:family w:val="auto"/>
    <w:notTrueType/>
    <w:pitch w:val="default"/>
    <w:sig w:usb0="00000003" w:usb1="00000000" w:usb2="00000000" w:usb3="00000000" w:csb0="00000001" w:csb1="00000000"/>
  </w:font>
  <w:font w:name="Graphik-Semibold">
    <w:altName w:val="Calibri"/>
    <w:panose1 w:val="00000000000000000000"/>
    <w:charset w:val="4D"/>
    <w:family w:val="auto"/>
    <w:notTrueType/>
    <w:pitch w:val="default"/>
    <w:sig w:usb0="00000003" w:usb1="00000000" w:usb2="00000000" w:usb3="00000000" w:csb0="00000001" w:csb1="00000000"/>
  </w:font>
  <w:font w:name="Graphik-Medium">
    <w:altName w:val="Calibri"/>
    <w:panose1 w:val="00000000000000000000"/>
    <w:charset w:val="4D"/>
    <w:family w:val="auto"/>
    <w:notTrueType/>
    <w:pitch w:val="default"/>
    <w:sig w:usb0="00000003" w:usb1="00000000" w:usb2="00000000" w:usb3="00000000" w:csb0="00000001" w:csb1="00000000"/>
  </w:font>
  <w:font w:name="Graphik-RegularItalic">
    <w:altName w:val="Calibri"/>
    <w:panose1 w:val="00000000000000000000"/>
    <w:charset w:val="4D"/>
    <w:family w:val="auto"/>
    <w:notTrueType/>
    <w:pitch w:val="default"/>
    <w:sig w:usb0="00000003" w:usb1="00000000" w:usb2="00000000" w:usb3="00000000" w:csb0="00000001" w:csb1="00000000"/>
  </w:font>
  <w:font w:name="Graphik-SemiboldItalic">
    <w:altName w:val="Calibri"/>
    <w:panose1 w:val="00000000000000000000"/>
    <w:charset w:val="4D"/>
    <w:family w:val="auto"/>
    <w:notTrueType/>
    <w:pitch w:val="default"/>
    <w:sig w:usb0="00000003" w:usb1="00000000" w:usb2="00000000" w:usb3="00000000" w:csb0="00000001" w:csb1="00000000"/>
  </w:font>
  <w:font w:name="Graphik Regular">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Frutiger 45 Light">
    <w:altName w:val="Calibri"/>
    <w:panose1 w:val="00000000000000000000"/>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MT Light">
    <w:altName w:val="Arial"/>
    <w:charset w:val="00"/>
    <w:family w:val="auto"/>
    <w:pitch w:val="variable"/>
    <w:sig w:usb0="00000003" w:usb1="00000000" w:usb2="00000000" w:usb3="00000000" w:csb0="00000001" w:csb1="00000000"/>
  </w:font>
  <w:font w:name="Roboto">
    <w:altName w:val="Arial"/>
    <w:charset w:val="00"/>
    <w:family w:val="auto"/>
    <w:pitch w:val="variable"/>
    <w:sig w:usb0="E00002FF" w:usb1="5000205B" w:usb2="00000020" w:usb3="00000000" w:csb0="0000019F" w:csb1="00000000"/>
  </w:font>
  <w:font w:name="ArialMT-Medium">
    <w:altName w:val="Arial"/>
    <w:charset w:val="00"/>
    <w:family w:val="auto"/>
    <w:pitch w:val="variable"/>
    <w:sig w:usb0="00000003" w:usb1="00000000" w:usb2="00000000" w:usb3="00000000" w:csb0="00000001" w:csb1="00000000"/>
  </w:font>
  <w:font w:name="Graphik Medium">
    <w:altName w:val="Calibri"/>
    <w:panose1 w:val="00000000000000000000"/>
    <w:charset w:val="00"/>
    <w:family w:val="swiss"/>
    <w:notTrueType/>
    <w:pitch w:val="default"/>
    <w:sig w:usb0="00000003" w:usb1="00000000" w:usb2="00000000" w:usb3="00000000" w:csb0="00000001" w:csb1="00000000"/>
  </w:font>
  <w:font w:name="Graphik Sem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F56" w:rsidRPr="00046354" w:rsidRDefault="00FE3F56" w:rsidP="00D75F90">
    <w:pPr>
      <w:pStyle w:val="Footer"/>
    </w:pPr>
    <w:r w:rsidRPr="00046354">
      <w:rPr>
        <w:rStyle w:val="Characteritalic"/>
        <w:lang w:eastAsia="en-AU"/>
      </w:rPr>
      <w:fldChar w:fldCharType="begin"/>
    </w:r>
    <w:r w:rsidRPr="00046354">
      <w:rPr>
        <w:rStyle w:val="Characteritalic"/>
        <w:lang w:eastAsia="en-AU"/>
      </w:rPr>
      <w:instrText xml:space="preserve"> STYLEREF  Title  \* MERGEFORMAT </w:instrText>
    </w:r>
    <w:r w:rsidRPr="00046354">
      <w:rPr>
        <w:rStyle w:val="Characteritalic"/>
        <w:lang w:eastAsia="en-AU"/>
      </w:rPr>
      <w:fldChar w:fldCharType="end"/>
    </w:r>
    <w:r>
      <w:tab/>
    </w:r>
    <w:r w:rsidRPr="00982493">
      <w:t xml:space="preserve">Page </w:t>
    </w:r>
    <w:r w:rsidRPr="00982493">
      <w:fldChar w:fldCharType="begin"/>
    </w:r>
    <w:r w:rsidRPr="00982493">
      <w:instrText xml:space="preserve"> PAGE  \* Arabic  \* MERGEFORMAT </w:instrText>
    </w:r>
    <w:r w:rsidRPr="00982493">
      <w:fldChar w:fldCharType="separate"/>
    </w:r>
    <w:r>
      <w:t>3</w:t>
    </w:r>
    <w:r w:rsidRPr="00982493">
      <w:fldChar w:fldCharType="end"/>
    </w:r>
    <w:r w:rsidRPr="00982493">
      <w:t xml:space="preserve"> of </w:t>
    </w:r>
    <w:fldSimple w:instr=" NUMPAGES  \* Arabic  \* MERGEFORMAT ">
      <w:r>
        <w:t>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F56" w:rsidRDefault="00423442">
    <w:pPr>
      <w:pStyle w:val="Footer"/>
    </w:pPr>
    <w:r>
      <w:rPr>
        <w:noProof/>
      </w:rPr>
      <w:pict>
        <v:shapetype id="_x0000_t202" coordsize="21600,21600" o:spt="202" path="m,l,21600r21600,l21600,xe">
          <v:stroke joinstyle="miter"/>
          <v:path gradientshapeok="t" o:connecttype="rect"/>
        </v:shapetype>
        <v:shape id="Text Box 9" o:spid="_x0000_s2051" type="#_x0000_t202" style="position:absolute;margin-left:-7.25pt;margin-top:9.15pt;width:295.5pt;height:28.15pt;z-index:25165926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" filled="f" stroked="f" strokeweight=".5pt">
          <v:textbox style="mso-next-textbox:#Text Box 9">
            <w:txbxContent>
              <w:p w:rsidR="00FE3F56" w:rsidRPr="00D75F90" w:rsidRDefault="00FE3F56">
                <w:pPr>
                  <w:rPr>
                    <w:color w:val="FFFFFF"/>
                  </w:rPr>
                </w:pPr>
                <w:r w:rsidRPr="00D75F90">
                  <w:rPr>
                    <w:color w:val="FFFFFF"/>
                  </w:rPr>
                  <w:t>humanrightscommission.vic.gov.au</w:t>
                </w:r>
              </w:p>
            </w:txbxContent>
          </v:textbox>
        </v:shape>
      </w:pict>
    </w:r>
    <w:r>
      <w:rPr>
        <w:noProof/>
      </w:rPr>
      <w:pict>
        <v:rect id="Rectangle 8" o:spid="_x0000_s2052" style="position:absolute;margin-left:-43.85pt;margin-top:5.15pt;width:603pt;height:5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" fillcolor="#454545"/>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F56" w:rsidRPr="00FB080C" w:rsidRDefault="00FE3F56" w:rsidP="00FB080C">
    <w:pPr>
      <w:pStyle w:val="BodyText"/>
      <w:rPr>
        <w:b/>
        <w:sz w:val="20"/>
      </w:rPr>
    </w:pPr>
    <w:r w:rsidRPr="00FB080C">
      <w:rPr>
        <w:sz w:val="20"/>
      </w:rPr>
      <w:t xml:space="preserve">Victorian Equal Opportunity and Human Rights Commission Annual Report 2018-19 </w:t>
    </w:r>
    <w:r w:rsidRPr="00FB080C">
      <w:rPr>
        <w:rStyle w:val="PageNumber"/>
        <w:sz w:val="20"/>
        <w:lang w:eastAsia="en-US"/>
      </w:rPr>
      <w:fldChar w:fldCharType="begin"/>
    </w:r>
    <w:r w:rsidRPr="00FB080C">
      <w:rPr>
        <w:rStyle w:val="PageNumber"/>
        <w:sz w:val="20"/>
        <w:lang w:eastAsia="en-US"/>
      </w:rPr>
      <w:instrText xml:space="preserve"> PAGE   \* MERGEFORMAT </w:instrText>
    </w:r>
    <w:r w:rsidRPr="00FB080C">
      <w:rPr>
        <w:rStyle w:val="PageNumber"/>
        <w:sz w:val="20"/>
        <w:lang w:eastAsia="en-US"/>
      </w:rPr>
      <w:fldChar w:fldCharType="separate"/>
    </w:r>
    <w:r w:rsidRPr="00FB080C">
      <w:rPr>
        <w:rStyle w:val="PageNumber"/>
        <w:noProof/>
        <w:sz w:val="20"/>
        <w:lang w:eastAsia="en-US"/>
      </w:rPr>
      <w:t>3</w:t>
    </w:r>
    <w:r w:rsidRPr="00FB080C">
      <w:rPr>
        <w:rStyle w:val="PageNumber"/>
        <w:sz w:val="2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3F56" w:rsidRDefault="00FE3F56">
      <w:pPr>
        <w:spacing w:after="0" w:line="240" w:lineRule="auto"/>
      </w:pPr>
      <w:r>
        <w:separator/>
      </w:r>
    </w:p>
  </w:footnote>
  <w:footnote w:type="continuationSeparator" w:id="0">
    <w:p w:rsidR="00FE3F56" w:rsidRDefault="00FE3F56">
      <w:pPr>
        <w:spacing w:after="0" w:line="240" w:lineRule="auto"/>
      </w:pPr>
      <w:r>
        <w:continuationSeparator/>
      </w:r>
    </w:p>
  </w:footnote>
  <w:footnote w:id="1">
    <w:p w:rsidR="00FE3F56" w:rsidRDefault="00FE3F56">
      <w:pPr>
        <w:pStyle w:val="HRVFootnotesEndnotes"/>
      </w:pPr>
      <w:r>
        <w:rPr>
          <w:vertAlign w:val="superscript"/>
        </w:rPr>
        <w:footnoteRef/>
      </w:r>
      <w:r>
        <w:tab/>
        <w:t xml:space="preserve"> The three Acts governing the work of the Victorian Equal Opportunity and Human Rights Commission are the </w:t>
      </w:r>
      <w:r>
        <w:rPr>
          <w:rStyle w:val="HRVItalics"/>
          <w:rFonts w:cs="Graphik-RegularItalic"/>
          <w:iCs/>
        </w:rPr>
        <w:t>Equal Opportunity Act 2010</w:t>
      </w:r>
      <w:r>
        <w:t xml:space="preserve">; </w:t>
      </w:r>
      <w:r>
        <w:rPr>
          <w:rStyle w:val="HRVItalics"/>
          <w:rFonts w:cs="Graphik-RegularItalic"/>
          <w:iCs/>
        </w:rPr>
        <w:t>Charter of Human Rights and Responsibilities Act 2006</w:t>
      </w:r>
      <w:r>
        <w:t xml:space="preserve">; and the </w:t>
      </w:r>
      <w:r>
        <w:rPr>
          <w:rStyle w:val="HRVItalics"/>
          <w:rFonts w:cs="Graphik-RegularItalic"/>
          <w:iCs/>
        </w:rPr>
        <w:t>Racial and Religious Tolerance Act 2001.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F56" w:rsidRDefault="00423442">
    <w:pPr>
      <w:pStyle w:val="Header"/>
    </w:pPr>
    <w:r>
      <w:rPr>
        <w:noProof/>
      </w:rPr>
      <w:pict>
        <v:rect id="Rectangle 7" o:spid="_x0000_s2049" style="position:absolute;margin-left:0;margin-top:359.7pt;width:603pt;height:406.8pt;z-index:251657216;visibility:visible;mso-position-horizontal:lef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" fillcolor="#f3f4ea">
          <w10:wrap anchorx="page"/>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F56" w:rsidRDefault="00FE3F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F56" w:rsidRDefault="00FE3F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F56" w:rsidRDefault="00FE3F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14A440E"/>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556DFF8"/>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80"/>
    <w:multiLevelType w:val="singleLevel"/>
    <w:tmpl w:val="3ADA0FF8"/>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AF6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D8E451EA"/>
    <w:lvl w:ilvl="0">
      <w:numFmt w:val="bullet"/>
      <w:pStyle w:val="VEOHRCListBullet2ndlevel"/>
      <w:lvlText w:val="-"/>
      <w:lvlJc w:val="left"/>
      <w:pPr>
        <w:tabs>
          <w:tab w:val="num" w:pos="720"/>
        </w:tabs>
        <w:ind w:left="720" w:hanging="360"/>
      </w:pPr>
      <w:rPr>
        <w:rFonts w:ascii="Arial" w:eastAsia="Times New Roman" w:hAnsi="Arial" w:hint="default"/>
      </w:rPr>
    </w:lvl>
  </w:abstractNum>
  <w:abstractNum w:abstractNumId="5" w15:restartNumberingAfterBreak="0">
    <w:nsid w:val="084F7801"/>
    <w:multiLevelType w:val="multilevel"/>
    <w:tmpl w:val="904AEB3A"/>
    <w:numStyleLink w:val="TableListNumbermaster"/>
  </w:abstractNum>
  <w:abstractNum w:abstractNumId="6" w15:restartNumberingAfterBreak="0">
    <w:nsid w:val="0ACD1C38"/>
    <w:multiLevelType w:val="multilevel"/>
    <w:tmpl w:val="1C067092"/>
    <w:lvl w:ilvl="0">
      <w:start w:val="1"/>
      <w:numFmt w:val="bullet"/>
      <w:pStyle w:val="Bullet"/>
      <w:lvlText w:val=""/>
      <w:lvlJc w:val="left"/>
      <w:pPr>
        <w:tabs>
          <w:tab w:val="num" w:pos="644"/>
        </w:tabs>
        <w:ind w:left="644" w:hanging="360"/>
      </w:pPr>
      <w:rPr>
        <w:rFonts w:ascii="Symbol" w:hAnsi="Symbol" w:hint="default"/>
      </w:rPr>
    </w:lvl>
    <w:lvl w:ilvl="1" w:tentative="1">
      <w:start w:val="1"/>
      <w:numFmt w:val="bullet"/>
      <w:lvlText w:val="o"/>
      <w:lvlJc w:val="left"/>
      <w:pPr>
        <w:tabs>
          <w:tab w:val="num" w:pos="1724"/>
        </w:tabs>
        <w:ind w:left="1724" w:hanging="360"/>
      </w:pPr>
      <w:rPr>
        <w:rFonts w:ascii="Courier New" w:hAnsi="Courier New" w:hint="default"/>
      </w:rPr>
    </w:lvl>
    <w:lvl w:ilvl="2" w:tentative="1">
      <w:start w:val="1"/>
      <w:numFmt w:val="bullet"/>
      <w:lvlText w:val=""/>
      <w:lvlJc w:val="left"/>
      <w:pPr>
        <w:tabs>
          <w:tab w:val="num" w:pos="2444"/>
        </w:tabs>
        <w:ind w:left="2444" w:hanging="360"/>
      </w:pPr>
      <w:rPr>
        <w:rFonts w:ascii="Wingdings" w:hAnsi="Wingdings" w:hint="default"/>
      </w:rPr>
    </w:lvl>
    <w:lvl w:ilvl="3" w:tentative="1">
      <w:start w:val="1"/>
      <w:numFmt w:val="bullet"/>
      <w:lvlText w:val=""/>
      <w:lvlJc w:val="left"/>
      <w:pPr>
        <w:tabs>
          <w:tab w:val="num" w:pos="3164"/>
        </w:tabs>
        <w:ind w:left="3164" w:hanging="360"/>
      </w:pPr>
      <w:rPr>
        <w:rFonts w:ascii="Symbol" w:hAnsi="Symbol" w:hint="default"/>
      </w:rPr>
    </w:lvl>
    <w:lvl w:ilvl="4" w:tentative="1">
      <w:start w:val="1"/>
      <w:numFmt w:val="bullet"/>
      <w:lvlText w:val="o"/>
      <w:lvlJc w:val="left"/>
      <w:pPr>
        <w:tabs>
          <w:tab w:val="num" w:pos="3884"/>
        </w:tabs>
        <w:ind w:left="3884" w:hanging="360"/>
      </w:pPr>
      <w:rPr>
        <w:rFonts w:ascii="Courier New" w:hAnsi="Courier New" w:hint="default"/>
      </w:rPr>
    </w:lvl>
    <w:lvl w:ilvl="5" w:tentative="1">
      <w:start w:val="1"/>
      <w:numFmt w:val="bullet"/>
      <w:lvlText w:val=""/>
      <w:lvlJc w:val="left"/>
      <w:pPr>
        <w:tabs>
          <w:tab w:val="num" w:pos="4604"/>
        </w:tabs>
        <w:ind w:left="4604" w:hanging="360"/>
      </w:pPr>
      <w:rPr>
        <w:rFonts w:ascii="Wingdings" w:hAnsi="Wingdings" w:hint="default"/>
      </w:rPr>
    </w:lvl>
    <w:lvl w:ilvl="6" w:tentative="1">
      <w:start w:val="1"/>
      <w:numFmt w:val="bullet"/>
      <w:lvlText w:val=""/>
      <w:lvlJc w:val="left"/>
      <w:pPr>
        <w:tabs>
          <w:tab w:val="num" w:pos="5324"/>
        </w:tabs>
        <w:ind w:left="5324" w:hanging="360"/>
      </w:pPr>
      <w:rPr>
        <w:rFonts w:ascii="Symbol" w:hAnsi="Symbol" w:hint="default"/>
      </w:rPr>
    </w:lvl>
    <w:lvl w:ilvl="7" w:tentative="1">
      <w:start w:val="1"/>
      <w:numFmt w:val="bullet"/>
      <w:lvlText w:val="o"/>
      <w:lvlJc w:val="left"/>
      <w:pPr>
        <w:tabs>
          <w:tab w:val="num" w:pos="6044"/>
        </w:tabs>
        <w:ind w:left="6044" w:hanging="360"/>
      </w:pPr>
      <w:rPr>
        <w:rFonts w:ascii="Courier New" w:hAnsi="Courier New" w:hint="default"/>
      </w:rPr>
    </w:lvl>
    <w:lvl w:ilvl="8" w:tentative="1">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0DB342DB"/>
    <w:multiLevelType w:val="hybridMultilevel"/>
    <w:tmpl w:val="7F1E21DC"/>
    <w:lvl w:ilvl="0" w:tplc="03A29D64">
      <w:start w:val="1"/>
      <w:numFmt w:val="bullet"/>
      <w:pStyle w:val="TableText-List3"/>
      <w:lvlText w:val=""/>
      <w:lvlJc w:val="left"/>
      <w:pPr>
        <w:tabs>
          <w:tab w:val="num" w:pos="425"/>
        </w:tabs>
        <w:ind w:left="425" w:hanging="141"/>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062B06"/>
    <w:multiLevelType w:val="multilevel"/>
    <w:tmpl w:val="6DDE58B8"/>
    <w:lvl w:ilvl="0">
      <w:start w:val="1"/>
      <w:numFmt w:val="decimal"/>
      <w:lvlText w:val="%1."/>
      <w:lvlJc w:val="left"/>
      <w:pPr>
        <w:tabs>
          <w:tab w:val="num" w:pos="720"/>
        </w:tabs>
        <w:ind w:left="720" w:hanging="360"/>
      </w:pPr>
      <w:rPr>
        <w:rFonts w:cs="Times New Roman" w:hint="default"/>
      </w:rPr>
    </w:lvl>
    <w:lvl w:ilvl="1">
      <w:start w:val="1"/>
      <w:numFmt w:val="lowerLetter"/>
      <w:pStyle w:val="VEOHRCletterlist"/>
      <w:lvlText w:val="%2."/>
      <w:lvlJc w:val="left"/>
      <w:pPr>
        <w:tabs>
          <w:tab w:val="num" w:pos="1080"/>
        </w:tabs>
        <w:ind w:left="1080" w:hanging="36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520"/>
        </w:tabs>
        <w:ind w:left="2520" w:hanging="108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600"/>
        </w:tabs>
        <w:ind w:left="3600" w:hanging="1440"/>
      </w:pPr>
      <w:rPr>
        <w:rFonts w:cs="Times New Roman" w:hint="default"/>
      </w:rPr>
    </w:lvl>
    <w:lvl w:ilvl="6">
      <w:start w:val="1"/>
      <w:numFmt w:val="decimal"/>
      <w:isLgl/>
      <w:lvlText w:val="%1.%2.%3.%4.%5.%6.%7"/>
      <w:lvlJc w:val="left"/>
      <w:pPr>
        <w:tabs>
          <w:tab w:val="num" w:pos="3960"/>
        </w:tabs>
        <w:ind w:left="3960" w:hanging="1440"/>
      </w:pPr>
      <w:rPr>
        <w:rFonts w:cs="Times New Roman" w:hint="default"/>
      </w:rPr>
    </w:lvl>
    <w:lvl w:ilvl="7">
      <w:start w:val="1"/>
      <w:numFmt w:val="decimal"/>
      <w:isLgl/>
      <w:lvlText w:val="%1.%2.%3.%4.%5.%6.%7.%8"/>
      <w:lvlJc w:val="left"/>
      <w:pPr>
        <w:tabs>
          <w:tab w:val="num" w:pos="4680"/>
        </w:tabs>
        <w:ind w:left="4680" w:hanging="1800"/>
      </w:pPr>
      <w:rPr>
        <w:rFonts w:cs="Times New Roman" w:hint="default"/>
      </w:rPr>
    </w:lvl>
    <w:lvl w:ilvl="8">
      <w:start w:val="1"/>
      <w:numFmt w:val="decimal"/>
      <w:isLgl/>
      <w:lvlText w:val="%1.%2.%3.%4.%5.%6.%7.%8.%9"/>
      <w:lvlJc w:val="left"/>
      <w:pPr>
        <w:tabs>
          <w:tab w:val="num" w:pos="5040"/>
        </w:tabs>
        <w:ind w:left="5040" w:hanging="1800"/>
      </w:pPr>
      <w:rPr>
        <w:rFonts w:cs="Times New Roman" w:hint="default"/>
      </w:rPr>
    </w:lvl>
  </w:abstractNum>
  <w:abstractNum w:abstractNumId="9" w15:restartNumberingAfterBreak="0">
    <w:nsid w:val="0E6270DA"/>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0" w15:restartNumberingAfterBreak="0">
    <w:nsid w:val="0F167765"/>
    <w:multiLevelType w:val="multilevel"/>
    <w:tmpl w:val="35266F38"/>
    <w:styleLink w:val="AppendixHeadingmaster"/>
    <w:lvl w:ilvl="0">
      <w:start w:val="1"/>
      <w:numFmt w:val="upperLetter"/>
      <w:lvlText w:val="Appendix %1"/>
      <w:lvlJc w:val="left"/>
      <w:pPr>
        <w:ind w:left="2325" w:hanging="2325"/>
      </w:pPr>
      <w:rPr>
        <w:rFonts w:ascii="Arial" w:hAnsi="Arial" w:cs="Times New Roman" w:hint="default"/>
        <w:b w:val="0"/>
        <w:i w:val="0"/>
        <w:color w:val="auto"/>
        <w:sz w:val="48"/>
      </w:rPr>
    </w:lvl>
    <w:lvl w:ilvl="1">
      <w:start w:val="1"/>
      <w:numFmt w:val="decimal"/>
      <w:lvlText w:val="%1.%2."/>
      <w:lvlJc w:val="left"/>
      <w:pPr>
        <w:ind w:left="1021" w:hanging="1021"/>
      </w:pPr>
      <w:rPr>
        <w:rFonts w:cs="Times New Roman" w:hint="default"/>
        <w:b/>
        <w:i w:val="0"/>
        <w:sz w:val="36"/>
      </w:rPr>
    </w:lvl>
    <w:lvl w:ilvl="2">
      <w:start w:val="1"/>
      <w:numFmt w:val="none"/>
      <w:lvlText w:val="%3"/>
      <w:lvlJc w:val="left"/>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15F915CD"/>
    <w:multiLevelType w:val="hybridMultilevel"/>
    <w:tmpl w:val="0A00E00C"/>
    <w:lvl w:ilvl="0" w:tplc="4B5EC29C">
      <w:start w:val="1"/>
      <w:numFmt w:val="bullet"/>
      <w:pStyle w:val="BodyText-List-RestrictedRelease"/>
      <w:lvlText w:val=""/>
      <w:lvlJc w:val="left"/>
      <w:pPr>
        <w:tabs>
          <w:tab w:val="num" w:pos="720"/>
        </w:tabs>
        <w:ind w:left="720" w:hanging="360"/>
      </w:pPr>
      <w:rPr>
        <w:rFonts w:ascii="Symbol" w:hAnsi="Symbol" w:hint="default"/>
        <w:color w:val="auto"/>
        <w:sz w:val="1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FF05CF"/>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1A753D77"/>
    <w:multiLevelType w:val="multilevel"/>
    <w:tmpl w:val="442A7A30"/>
    <w:styleLink w:val="Headingsmaster"/>
    <w:lvl w:ilvl="0">
      <w:start w:val="1"/>
      <w:numFmt w:val="decimal"/>
      <w:lvlText w:val="%1."/>
      <w:lvlJc w:val="left"/>
      <w:pPr>
        <w:ind w:left="1021" w:hanging="1021"/>
      </w:pPr>
      <w:rPr>
        <w:rFonts w:cs="Times New Roman" w:hint="default"/>
      </w:rPr>
    </w:lvl>
    <w:lvl w:ilvl="1">
      <w:start w:val="1"/>
      <w:numFmt w:val="decimal"/>
      <w:lvlText w:val="%1.%2"/>
      <w:lvlJc w:val="left"/>
      <w:pPr>
        <w:ind w:left="1021" w:hanging="1021"/>
      </w:pPr>
      <w:rPr>
        <w:rFonts w:cs="Times New Roman" w:hint="default"/>
      </w:rPr>
    </w:lvl>
    <w:lvl w:ilvl="2">
      <w:start w:val="1"/>
      <w:numFmt w:val="decimal"/>
      <w:lvlText w:val="%1.%2.%3"/>
      <w:lvlJc w:val="left"/>
      <w:pPr>
        <w:ind w:left="1021" w:hanging="1021"/>
      </w:pPr>
      <w:rPr>
        <w:rFonts w:cs="Times New Roman" w:hint="default"/>
      </w:rPr>
    </w:lvl>
    <w:lvl w:ilvl="3">
      <w:start w:val="1"/>
      <w:numFmt w:val="decimal"/>
      <w:lvlText w:val="%1.%2.%3.%4."/>
      <w:lvlJc w:val="left"/>
      <w:pPr>
        <w:tabs>
          <w:tab w:val="num" w:pos="1021"/>
        </w:tabs>
        <w:ind w:left="1021" w:hanging="1021"/>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1D811B41"/>
    <w:multiLevelType w:val="multilevel"/>
    <w:tmpl w:val="518604D6"/>
    <w:lvl w:ilvl="0">
      <w:start w:val="1"/>
      <w:numFmt w:val="bullet"/>
      <w:pStyle w:val="Bullet2"/>
      <w:lvlText w:val="~"/>
      <w:lvlJc w:val="left"/>
      <w:pPr>
        <w:tabs>
          <w:tab w:val="num" w:pos="927"/>
        </w:tabs>
        <w:ind w:left="927" w:hanging="360"/>
      </w:pPr>
      <w:rPr>
        <w:rFonts w:hAnsi="Arial" w:hint="default"/>
      </w:rPr>
    </w:lvl>
    <w:lvl w:ilvl="1">
      <w:start w:val="1"/>
      <w:numFmt w:val="bullet"/>
      <w:pStyle w:val="bullet3"/>
      <w:lvlText w:val=""/>
      <w:lvlJc w:val="left"/>
      <w:pPr>
        <w:tabs>
          <w:tab w:val="num" w:pos="2007"/>
        </w:tabs>
        <w:ind w:left="2007" w:hanging="360"/>
      </w:pPr>
      <w:rPr>
        <w:rFonts w:ascii="Symbol" w:hAnsi="Symbol"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1F082FEE"/>
    <w:multiLevelType w:val="multilevel"/>
    <w:tmpl w:val="904AEB3A"/>
    <w:styleLink w:val="TableListNumbermaster"/>
    <w:lvl w:ilvl="0">
      <w:start w:val="1"/>
      <w:numFmt w:val="decimal"/>
      <w:lvlText w:val="%1."/>
      <w:lvlJc w:val="left"/>
      <w:pPr>
        <w:ind w:left="360" w:hanging="360"/>
      </w:pPr>
      <w:rPr>
        <w:rFonts w:cs="Times New Roman" w:hint="default"/>
        <w:color w:val="auto"/>
      </w:rPr>
    </w:lvl>
    <w:lvl w:ilvl="1">
      <w:start w:val="1"/>
      <w:numFmt w:val="lowerLetter"/>
      <w:lvlText w:val="%2."/>
      <w:lvlJc w:val="left"/>
      <w:pPr>
        <w:ind w:left="720" w:hanging="360"/>
      </w:pPr>
      <w:rPr>
        <w:rFonts w:cs="Times New Roman"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21B72C27"/>
    <w:multiLevelType w:val="multilevel"/>
    <w:tmpl w:val="D49860B2"/>
    <w:lvl w:ilvl="0">
      <w:start w:val="1"/>
      <w:numFmt w:val="decimal"/>
      <w:lvlRestart w:val="0"/>
      <w:pStyle w:val="Table-Number"/>
      <w:lvlText w:val="%1"/>
      <w:lvlJc w:val="left"/>
      <w:pPr>
        <w:tabs>
          <w:tab w:val="num" w:pos="283"/>
        </w:tabs>
        <w:ind w:left="283" w:hanging="283"/>
      </w:pPr>
      <w:rPr>
        <w:rFonts w:ascii="Verdana" w:hAnsi="Verdana" w:cs="Times New Roman" w:hint="default"/>
        <w:b w:val="0"/>
        <w:i w:val="0"/>
        <w:sz w:val="18"/>
      </w:rPr>
    </w:lvl>
    <w:lvl w:ilvl="1">
      <w:start w:val="1"/>
      <w:numFmt w:val="lowerLetter"/>
      <w:pStyle w:val="TableText-List-Level1"/>
      <w:lvlText w:val="%2)"/>
      <w:lvlJc w:val="left"/>
      <w:pPr>
        <w:tabs>
          <w:tab w:val="num" w:pos="283"/>
        </w:tabs>
        <w:ind w:left="283" w:hanging="283"/>
      </w:pPr>
      <w:rPr>
        <w:rFonts w:ascii="Verdana" w:hAnsi="Verdana" w:cs="Times New Roman" w:hint="default"/>
      </w:rPr>
    </w:lvl>
    <w:lvl w:ilvl="2">
      <w:start w:val="1"/>
      <w:numFmt w:val="lowerRoman"/>
      <w:pStyle w:val="TableText-List-Level2"/>
      <w:lvlText w:val="%3"/>
      <w:lvlJc w:val="left"/>
      <w:pPr>
        <w:tabs>
          <w:tab w:val="num" w:pos="567"/>
        </w:tabs>
        <w:ind w:left="567" w:hanging="284"/>
      </w:pPr>
      <w:rPr>
        <w:rFonts w:ascii="Verdana" w:hAnsi="Verdana" w:cs="Times New Roman" w:hint="default"/>
      </w:rPr>
    </w:lvl>
    <w:lvl w:ilvl="3">
      <w:start w:val="1"/>
      <w:numFmt w:val="decimal"/>
      <w:lvlText w:val="%1.%2.%3.%4."/>
      <w:lvlJc w:val="left"/>
      <w:pPr>
        <w:tabs>
          <w:tab w:val="num" w:pos="2160"/>
        </w:tabs>
        <w:ind w:left="1729" w:hanging="652"/>
      </w:pPr>
      <w:rPr>
        <w:rFonts w:ascii="Verdana" w:hAnsi="Verdana" w:cs="Times New Roman" w:hint="default"/>
      </w:rPr>
    </w:lvl>
    <w:lvl w:ilvl="4">
      <w:start w:val="1"/>
      <w:numFmt w:val="decimal"/>
      <w:lvlText w:val="%1.%2.%3.%4.%5."/>
      <w:lvlJc w:val="left"/>
      <w:pPr>
        <w:tabs>
          <w:tab w:val="num" w:pos="2517"/>
        </w:tabs>
        <w:ind w:left="2234" w:hanging="794"/>
      </w:pPr>
      <w:rPr>
        <w:rFonts w:ascii="Verdana" w:hAnsi="Verdana" w:cs="Times New Roman" w:hint="default"/>
      </w:rPr>
    </w:lvl>
    <w:lvl w:ilvl="5">
      <w:start w:val="1"/>
      <w:numFmt w:val="decimal"/>
      <w:lvlText w:val="%1.%2.%3.%4.%5.%6."/>
      <w:lvlJc w:val="left"/>
      <w:pPr>
        <w:tabs>
          <w:tab w:val="num" w:pos="3237"/>
        </w:tabs>
        <w:ind w:left="2738" w:hanging="941"/>
      </w:pPr>
      <w:rPr>
        <w:rFonts w:ascii="Verdana" w:hAnsi="Verdana" w:cs="Times New Roman" w:hint="default"/>
      </w:rPr>
    </w:lvl>
    <w:lvl w:ilvl="6">
      <w:start w:val="1"/>
      <w:numFmt w:val="decimal"/>
      <w:lvlText w:val="%1.%2.%3.%4.%5.%6.%7."/>
      <w:lvlJc w:val="left"/>
      <w:pPr>
        <w:tabs>
          <w:tab w:val="num" w:pos="3957"/>
        </w:tabs>
        <w:ind w:left="3237" w:hanging="1077"/>
      </w:pPr>
      <w:rPr>
        <w:rFonts w:ascii="Verdana" w:hAnsi="Verdana" w:cs="Times New Roman" w:hint="default"/>
      </w:rPr>
    </w:lvl>
    <w:lvl w:ilvl="7">
      <w:start w:val="1"/>
      <w:numFmt w:val="decimal"/>
      <w:lvlText w:val="%1.%2.%3.%4.%5.%6.%7.%8."/>
      <w:lvlJc w:val="left"/>
      <w:pPr>
        <w:tabs>
          <w:tab w:val="num" w:pos="4320"/>
        </w:tabs>
        <w:ind w:left="3742" w:hanging="1225"/>
      </w:pPr>
      <w:rPr>
        <w:rFonts w:ascii="Verdana" w:hAnsi="Verdana" w:cs="Times New Roman" w:hint="default"/>
      </w:rPr>
    </w:lvl>
    <w:lvl w:ilvl="8">
      <w:start w:val="1"/>
      <w:numFmt w:val="decimal"/>
      <w:lvlText w:val="%1.%2.%3.%4.%5.%6.%7.%8.%9."/>
      <w:lvlJc w:val="left"/>
      <w:pPr>
        <w:tabs>
          <w:tab w:val="num" w:pos="5040"/>
        </w:tabs>
        <w:ind w:left="4320" w:hanging="1440"/>
      </w:pPr>
      <w:rPr>
        <w:rFonts w:ascii="Verdana" w:hAnsi="Verdana" w:cs="Times New Roman" w:hint="default"/>
      </w:rPr>
    </w:lvl>
  </w:abstractNum>
  <w:abstractNum w:abstractNumId="17" w15:restartNumberingAfterBreak="0">
    <w:nsid w:val="22281366"/>
    <w:multiLevelType w:val="hybridMultilevel"/>
    <w:tmpl w:val="ED2C472C"/>
    <w:lvl w:ilvl="0" w:tplc="73501DA0">
      <w:start w:val="1"/>
      <w:numFmt w:val="decimal"/>
      <w:lvlText w:val="%1."/>
      <w:lvlJc w:val="left"/>
      <w:pPr>
        <w:tabs>
          <w:tab w:val="num" w:pos="720"/>
        </w:tabs>
        <w:ind w:left="720" w:hanging="360"/>
      </w:pPr>
      <w:rPr>
        <w:rFonts w:cs="Times New Roman"/>
      </w:rPr>
    </w:lvl>
    <w:lvl w:ilvl="1" w:tplc="014E52AE" w:tentative="1">
      <w:start w:val="1"/>
      <w:numFmt w:val="lowerLetter"/>
      <w:lvlText w:val="%2."/>
      <w:lvlJc w:val="left"/>
      <w:pPr>
        <w:tabs>
          <w:tab w:val="num" w:pos="1440"/>
        </w:tabs>
        <w:ind w:left="1440" w:hanging="360"/>
      </w:pPr>
      <w:rPr>
        <w:rFonts w:cs="Times New Roman"/>
      </w:rPr>
    </w:lvl>
    <w:lvl w:ilvl="2" w:tplc="2F1820CE">
      <w:start w:val="1"/>
      <w:numFmt w:val="lowerRoman"/>
      <w:pStyle w:val="Handoutdotlist1"/>
      <w:lvlText w:val="%3."/>
      <w:lvlJc w:val="right"/>
      <w:pPr>
        <w:tabs>
          <w:tab w:val="num" w:pos="2340"/>
        </w:tabs>
        <w:ind w:left="2340" w:hanging="360"/>
      </w:pPr>
      <w:rPr>
        <w:rFonts w:cs="Times New Roman"/>
      </w:rPr>
    </w:lvl>
    <w:lvl w:ilvl="3" w:tplc="D97E4378" w:tentative="1">
      <w:start w:val="1"/>
      <w:numFmt w:val="decimal"/>
      <w:lvlText w:val="%4."/>
      <w:lvlJc w:val="left"/>
      <w:pPr>
        <w:tabs>
          <w:tab w:val="num" w:pos="2880"/>
        </w:tabs>
        <w:ind w:left="2880" w:hanging="360"/>
      </w:pPr>
      <w:rPr>
        <w:rFonts w:cs="Times New Roman"/>
      </w:rPr>
    </w:lvl>
    <w:lvl w:ilvl="4" w:tplc="A8EE5D0E" w:tentative="1">
      <w:start w:val="1"/>
      <w:numFmt w:val="lowerLetter"/>
      <w:lvlText w:val="%5."/>
      <w:lvlJc w:val="left"/>
      <w:pPr>
        <w:tabs>
          <w:tab w:val="num" w:pos="3600"/>
        </w:tabs>
        <w:ind w:left="3600" w:hanging="360"/>
      </w:pPr>
      <w:rPr>
        <w:rFonts w:cs="Times New Roman"/>
      </w:rPr>
    </w:lvl>
    <w:lvl w:ilvl="5" w:tplc="54745AD6" w:tentative="1">
      <w:start w:val="1"/>
      <w:numFmt w:val="lowerRoman"/>
      <w:lvlText w:val="%6."/>
      <w:lvlJc w:val="right"/>
      <w:pPr>
        <w:tabs>
          <w:tab w:val="num" w:pos="4320"/>
        </w:tabs>
        <w:ind w:left="4320" w:hanging="180"/>
      </w:pPr>
      <w:rPr>
        <w:rFonts w:cs="Times New Roman"/>
      </w:rPr>
    </w:lvl>
    <w:lvl w:ilvl="6" w:tplc="3D1CE1D4" w:tentative="1">
      <w:start w:val="1"/>
      <w:numFmt w:val="decimal"/>
      <w:lvlText w:val="%7."/>
      <w:lvlJc w:val="left"/>
      <w:pPr>
        <w:tabs>
          <w:tab w:val="num" w:pos="5040"/>
        </w:tabs>
        <w:ind w:left="5040" w:hanging="360"/>
      </w:pPr>
      <w:rPr>
        <w:rFonts w:cs="Times New Roman"/>
      </w:rPr>
    </w:lvl>
    <w:lvl w:ilvl="7" w:tplc="3CEA2746" w:tentative="1">
      <w:start w:val="1"/>
      <w:numFmt w:val="lowerLetter"/>
      <w:lvlText w:val="%8."/>
      <w:lvlJc w:val="left"/>
      <w:pPr>
        <w:tabs>
          <w:tab w:val="num" w:pos="5760"/>
        </w:tabs>
        <w:ind w:left="5760" w:hanging="360"/>
      </w:pPr>
      <w:rPr>
        <w:rFonts w:cs="Times New Roman"/>
      </w:rPr>
    </w:lvl>
    <w:lvl w:ilvl="8" w:tplc="ED30F2C6" w:tentative="1">
      <w:start w:val="1"/>
      <w:numFmt w:val="lowerRoman"/>
      <w:lvlText w:val="%9."/>
      <w:lvlJc w:val="right"/>
      <w:pPr>
        <w:tabs>
          <w:tab w:val="num" w:pos="6480"/>
        </w:tabs>
        <w:ind w:left="6480" w:hanging="180"/>
      </w:pPr>
      <w:rPr>
        <w:rFonts w:cs="Times New Roman"/>
      </w:rPr>
    </w:lvl>
  </w:abstractNum>
  <w:abstractNum w:abstractNumId="18" w15:restartNumberingAfterBreak="0">
    <w:nsid w:val="242839DB"/>
    <w:multiLevelType w:val="multilevel"/>
    <w:tmpl w:val="A1224394"/>
    <w:styleLink w:val="ListLegalmaster"/>
    <w:lvl w:ilvl="0">
      <w:start w:val="1"/>
      <w:numFmt w:val="decimal"/>
      <w:lvlText w:val="%1."/>
      <w:lvlJc w:val="left"/>
      <w:pPr>
        <w:ind w:left="357" w:hanging="357"/>
      </w:pPr>
      <w:rPr>
        <w:rFonts w:ascii="Arial" w:hAnsi="Arial" w:cs="Times New Roman" w:hint="default"/>
        <w:b w:val="0"/>
        <w:i w:val="0"/>
        <w:color w:val="auto"/>
        <w:sz w:val="20"/>
      </w:rPr>
    </w:lvl>
    <w:lvl w:ilvl="1">
      <w:start w:val="1"/>
      <w:numFmt w:val="lowerLetter"/>
      <w:lvlText w:val="(%2)"/>
      <w:lvlJc w:val="left"/>
      <w:pPr>
        <w:tabs>
          <w:tab w:val="num" w:pos="720"/>
        </w:tabs>
        <w:ind w:left="714" w:hanging="357"/>
      </w:pPr>
      <w:rPr>
        <w:rFonts w:ascii="Arial" w:hAnsi="Arial" w:cs="Times New Roman" w:hint="default"/>
        <w:b w:val="0"/>
        <w:i w:val="0"/>
        <w:color w:val="auto"/>
        <w:sz w:val="20"/>
      </w:rPr>
    </w:lvl>
    <w:lvl w:ilvl="2">
      <w:start w:val="1"/>
      <w:numFmt w:val="lowerRoman"/>
      <w:lvlText w:val="(%3)"/>
      <w:lvlJc w:val="left"/>
      <w:pPr>
        <w:ind w:left="1435" w:hanging="721"/>
      </w:pPr>
      <w:rPr>
        <w:rFonts w:ascii="Arial" w:hAnsi="Arial" w:cs="Times New Roman" w:hint="default"/>
        <w:b w:val="0"/>
        <w:i w:val="0"/>
        <w:color w:val="auto"/>
        <w:sz w:val="2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25C53C8B"/>
    <w:multiLevelType w:val="multilevel"/>
    <w:tmpl w:val="91525E22"/>
    <w:lvl w:ilvl="0">
      <w:start w:val="1"/>
      <w:numFmt w:val="decimal"/>
      <w:lvlText w:val="%1."/>
      <w:lvlJc w:val="left"/>
      <w:pPr>
        <w:tabs>
          <w:tab w:val="num" w:pos="567"/>
        </w:tabs>
        <w:ind w:left="567" w:hanging="567"/>
      </w:pPr>
      <w:rPr>
        <w:rFonts w:cs="Times New Roman"/>
      </w:rPr>
    </w:lvl>
    <w:lvl w:ilvl="1">
      <w:start w:val="1"/>
      <w:numFmt w:val="bullet"/>
      <w:pStyle w:val="bullets"/>
      <w:lvlText w:val=""/>
      <w:lvlJc w:val="left"/>
      <w:pPr>
        <w:tabs>
          <w:tab w:val="num" w:pos="927"/>
        </w:tabs>
        <w:ind w:left="720" w:hanging="153"/>
      </w:pPr>
      <w:rPr>
        <w:rFonts w:ascii="Wingdings" w:hAnsi="Wingdings" w:hint="default"/>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7FB6F5D"/>
    <w:multiLevelType w:val="multilevel"/>
    <w:tmpl w:val="540CA368"/>
    <w:numStyleLink w:val="ListBulletmaster"/>
  </w:abstractNum>
  <w:abstractNum w:abstractNumId="21" w15:restartNumberingAfterBreak="0">
    <w:nsid w:val="28114D51"/>
    <w:multiLevelType w:val="hybridMultilevel"/>
    <w:tmpl w:val="A0DCA972"/>
    <w:lvl w:ilvl="0" w:tplc="7C8C868A">
      <w:start w:val="1"/>
      <w:numFmt w:val="bullet"/>
      <w:pStyle w:val="Titlepagecontentslist1"/>
      <w:lvlText w:val=""/>
      <w:lvlJc w:val="left"/>
      <w:pPr>
        <w:tabs>
          <w:tab w:val="num" w:pos="417"/>
        </w:tabs>
        <w:ind w:left="340" w:hanging="283"/>
      </w:pPr>
      <w:rPr>
        <w:rFonts w:ascii="Symbol" w:hAnsi="Symbol" w:hint="default"/>
      </w:rPr>
    </w:lvl>
    <w:lvl w:ilvl="1" w:tplc="ED30EB64">
      <w:start w:val="1"/>
      <w:numFmt w:val="bullet"/>
      <w:lvlText w:val="o"/>
      <w:lvlJc w:val="left"/>
      <w:pPr>
        <w:tabs>
          <w:tab w:val="num" w:pos="2177"/>
        </w:tabs>
        <w:ind w:left="2177" w:hanging="360"/>
      </w:pPr>
      <w:rPr>
        <w:rFonts w:ascii="Courier New" w:hAnsi="Courier New" w:hint="default"/>
      </w:rPr>
    </w:lvl>
    <w:lvl w:ilvl="2" w:tplc="E1B8EEF6" w:tentative="1">
      <w:start w:val="1"/>
      <w:numFmt w:val="bullet"/>
      <w:lvlText w:val=""/>
      <w:lvlJc w:val="left"/>
      <w:pPr>
        <w:tabs>
          <w:tab w:val="num" w:pos="2897"/>
        </w:tabs>
        <w:ind w:left="2897" w:hanging="360"/>
      </w:pPr>
      <w:rPr>
        <w:rFonts w:ascii="Wingdings" w:hAnsi="Wingdings" w:hint="default"/>
      </w:rPr>
    </w:lvl>
    <w:lvl w:ilvl="3" w:tplc="0BA40A56" w:tentative="1">
      <w:start w:val="1"/>
      <w:numFmt w:val="bullet"/>
      <w:lvlText w:val=""/>
      <w:lvlJc w:val="left"/>
      <w:pPr>
        <w:tabs>
          <w:tab w:val="num" w:pos="3617"/>
        </w:tabs>
        <w:ind w:left="3617" w:hanging="360"/>
      </w:pPr>
      <w:rPr>
        <w:rFonts w:ascii="Symbol" w:hAnsi="Symbol" w:hint="default"/>
      </w:rPr>
    </w:lvl>
    <w:lvl w:ilvl="4" w:tplc="C32E4BB6" w:tentative="1">
      <w:start w:val="1"/>
      <w:numFmt w:val="bullet"/>
      <w:lvlText w:val="o"/>
      <w:lvlJc w:val="left"/>
      <w:pPr>
        <w:tabs>
          <w:tab w:val="num" w:pos="4337"/>
        </w:tabs>
        <w:ind w:left="4337" w:hanging="360"/>
      </w:pPr>
      <w:rPr>
        <w:rFonts w:ascii="Courier New" w:hAnsi="Courier New" w:hint="default"/>
      </w:rPr>
    </w:lvl>
    <w:lvl w:ilvl="5" w:tplc="0B2CF636" w:tentative="1">
      <w:start w:val="1"/>
      <w:numFmt w:val="bullet"/>
      <w:lvlText w:val=""/>
      <w:lvlJc w:val="left"/>
      <w:pPr>
        <w:tabs>
          <w:tab w:val="num" w:pos="5057"/>
        </w:tabs>
        <w:ind w:left="5057" w:hanging="360"/>
      </w:pPr>
      <w:rPr>
        <w:rFonts w:ascii="Wingdings" w:hAnsi="Wingdings" w:hint="default"/>
      </w:rPr>
    </w:lvl>
    <w:lvl w:ilvl="6" w:tplc="09D20EC0" w:tentative="1">
      <w:start w:val="1"/>
      <w:numFmt w:val="bullet"/>
      <w:lvlText w:val=""/>
      <w:lvlJc w:val="left"/>
      <w:pPr>
        <w:tabs>
          <w:tab w:val="num" w:pos="5777"/>
        </w:tabs>
        <w:ind w:left="5777" w:hanging="360"/>
      </w:pPr>
      <w:rPr>
        <w:rFonts w:ascii="Symbol" w:hAnsi="Symbol" w:hint="default"/>
      </w:rPr>
    </w:lvl>
    <w:lvl w:ilvl="7" w:tplc="38EE4F6E" w:tentative="1">
      <w:start w:val="1"/>
      <w:numFmt w:val="bullet"/>
      <w:lvlText w:val="o"/>
      <w:lvlJc w:val="left"/>
      <w:pPr>
        <w:tabs>
          <w:tab w:val="num" w:pos="6497"/>
        </w:tabs>
        <w:ind w:left="6497" w:hanging="360"/>
      </w:pPr>
      <w:rPr>
        <w:rFonts w:ascii="Courier New" w:hAnsi="Courier New" w:hint="default"/>
      </w:rPr>
    </w:lvl>
    <w:lvl w:ilvl="8" w:tplc="C86431E4" w:tentative="1">
      <w:start w:val="1"/>
      <w:numFmt w:val="bullet"/>
      <w:lvlText w:val=""/>
      <w:lvlJc w:val="left"/>
      <w:pPr>
        <w:tabs>
          <w:tab w:val="num" w:pos="7217"/>
        </w:tabs>
        <w:ind w:left="7217" w:hanging="360"/>
      </w:pPr>
      <w:rPr>
        <w:rFonts w:ascii="Wingdings" w:hAnsi="Wingdings" w:hint="default"/>
      </w:rPr>
    </w:lvl>
  </w:abstractNum>
  <w:abstractNum w:abstractNumId="22" w15:restartNumberingAfterBreak="0">
    <w:nsid w:val="28922093"/>
    <w:multiLevelType w:val="hybridMultilevel"/>
    <w:tmpl w:val="DAC44DC2"/>
    <w:lvl w:ilvl="0" w:tplc="59F8EBB4">
      <w:start w:val="1"/>
      <w:numFmt w:val="bullet"/>
      <w:pStyle w:val="TableText-List-Nolinespacing"/>
      <w:lvlText w:val=""/>
      <w:lvlJc w:val="left"/>
      <w:pPr>
        <w:tabs>
          <w:tab w:val="num" w:pos="142"/>
        </w:tabs>
        <w:ind w:left="142" w:hanging="142"/>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9E85E8A"/>
    <w:multiLevelType w:val="hybridMultilevel"/>
    <w:tmpl w:val="0444F09C"/>
    <w:lvl w:ilvl="0" w:tplc="0409000F">
      <w:start w:val="1"/>
      <w:numFmt w:val="decimal"/>
      <w:lvlText w:val="%1."/>
      <w:lvlJc w:val="left"/>
      <w:pPr>
        <w:ind w:left="720" w:hanging="360"/>
      </w:pPr>
      <w:rPr>
        <w:rFonts w:cs="Times New Roman" w:hint="default"/>
      </w:rPr>
    </w:lvl>
    <w:lvl w:ilvl="1" w:tplc="457E764C">
      <w:start w:val="1"/>
      <w:numFmt w:val="lowerRoman"/>
      <w:pStyle w:val="VEOHRCRomannumberlist"/>
      <w:lvlText w:val="%2)"/>
      <w:lvlJc w:val="left"/>
      <w:pPr>
        <w:tabs>
          <w:tab w:val="num" w:pos="1995"/>
        </w:tabs>
        <w:ind w:left="1995" w:hanging="915"/>
      </w:pPr>
      <w:rPr>
        <w:rFonts w:cs="Times New Roman" w:hint="default"/>
      </w:rPr>
    </w:lvl>
    <w:lvl w:ilvl="2" w:tplc="0C090019">
      <w:start w:val="1"/>
      <w:numFmt w:val="lowerLetter"/>
      <w:lvlText w:val="%3."/>
      <w:lvlJc w:val="left"/>
      <w:pPr>
        <w:tabs>
          <w:tab w:val="num" w:pos="2340"/>
        </w:tabs>
        <w:ind w:left="2340" w:hanging="360"/>
      </w:pPr>
      <w:rPr>
        <w:rFonts w:cs="Times New Roman" w:hint="default"/>
      </w:rPr>
    </w:lvl>
    <w:lvl w:ilvl="3" w:tplc="45CC0D7C">
      <w:start w:val="1"/>
      <w:numFmt w:val="decimal"/>
      <w:lvlText w:val="%4"/>
      <w:lvlJc w:val="left"/>
      <w:pPr>
        <w:tabs>
          <w:tab w:val="num" w:pos="2880"/>
        </w:tabs>
        <w:ind w:left="2880" w:hanging="360"/>
      </w:pPr>
      <w:rPr>
        <w:rFonts w:cs="Times New Roman" w:hint="default"/>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2BDC4A7E"/>
    <w:multiLevelType w:val="multilevel"/>
    <w:tmpl w:val="35266F38"/>
    <w:numStyleLink w:val="AppendixHeadingmaster"/>
  </w:abstractNum>
  <w:abstractNum w:abstractNumId="25" w15:restartNumberingAfterBreak="0">
    <w:nsid w:val="2D9328E2"/>
    <w:multiLevelType w:val="multilevel"/>
    <w:tmpl w:val="69C6531C"/>
    <w:styleLink w:val="ListNumbermaster"/>
    <w:lvl w:ilvl="0">
      <w:start w:val="1"/>
      <w:numFmt w:val="decimal"/>
      <w:lvlText w:val="%1."/>
      <w:lvlJc w:val="left"/>
      <w:pPr>
        <w:ind w:left="360" w:hanging="360"/>
      </w:pPr>
      <w:rPr>
        <w:rFonts w:ascii="Arial" w:hAnsi="Arial" w:cs="Times New Roman" w:hint="default"/>
        <w:color w:val="auto"/>
        <w:sz w:val="24"/>
      </w:rPr>
    </w:lvl>
    <w:lvl w:ilvl="1">
      <w:start w:val="1"/>
      <w:numFmt w:val="lowerLetter"/>
      <w:lvlText w:val="%2."/>
      <w:lvlJc w:val="left"/>
      <w:pPr>
        <w:ind w:left="720" w:hanging="360"/>
      </w:pPr>
      <w:rPr>
        <w:rFonts w:ascii="Arial" w:hAnsi="Arial" w:cs="Times New Roman" w:hint="default"/>
        <w:color w:val="auto"/>
        <w:sz w:val="24"/>
      </w:rPr>
    </w:lvl>
    <w:lvl w:ilvl="2">
      <w:start w:val="1"/>
      <w:numFmt w:val="lowerRoman"/>
      <w:lvlText w:val="%3."/>
      <w:lvlJc w:val="left"/>
      <w:pPr>
        <w:ind w:left="1080" w:hanging="360"/>
      </w:pPr>
      <w:rPr>
        <w:rFonts w:ascii="Arial" w:hAnsi="Arial" w:cs="Times New Roman" w:hint="default"/>
        <w:color w:val="auto"/>
        <w:sz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6" w15:restartNumberingAfterBreak="0">
    <w:nsid w:val="2E0B282B"/>
    <w:multiLevelType w:val="hybridMultilevel"/>
    <w:tmpl w:val="854E7CB6"/>
    <w:lvl w:ilvl="0" w:tplc="249E12BE">
      <w:start w:val="1"/>
      <w:numFmt w:val="decimal"/>
      <w:pStyle w:val="VEOHRCNumberedlist"/>
      <w:lvlText w:val="%1."/>
      <w:lvlJc w:val="left"/>
      <w:pPr>
        <w:ind w:left="720" w:hanging="360"/>
      </w:pPr>
      <w:rPr>
        <w:rFonts w:cs="Times New Roman" w:hint="default"/>
        <w:sz w:val="24"/>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7" w15:restartNumberingAfterBreak="0">
    <w:nsid w:val="2E3D1375"/>
    <w:multiLevelType w:val="hybridMultilevel"/>
    <w:tmpl w:val="30D4C086"/>
    <w:lvl w:ilvl="0" w:tplc="F290283E">
      <w:start w:val="1"/>
      <w:numFmt w:val="bullet"/>
      <w:pStyle w:val="VEOHRCListBullet"/>
      <w:lvlText w:val=""/>
      <w:lvlJc w:val="left"/>
      <w:pPr>
        <w:tabs>
          <w:tab w:val="num" w:pos="360"/>
        </w:tabs>
        <w:ind w:left="360" w:hanging="360"/>
      </w:pPr>
      <w:rPr>
        <w:rFonts w:ascii="Symbol" w:hAnsi="Symbol" w:hint="default"/>
      </w:rPr>
    </w:lvl>
    <w:lvl w:ilvl="1" w:tplc="2C6A4A6C">
      <w:start w:val="1"/>
      <w:numFmt w:val="bullet"/>
      <w:lvlText w:val="o"/>
      <w:lvlJc w:val="left"/>
      <w:pPr>
        <w:tabs>
          <w:tab w:val="num" w:pos="1440"/>
        </w:tabs>
        <w:ind w:left="1440" w:hanging="360"/>
      </w:pPr>
      <w:rPr>
        <w:rFonts w:ascii="Courier New" w:hAnsi="Courier New" w:hint="default"/>
      </w:rPr>
    </w:lvl>
    <w:lvl w:ilvl="2" w:tplc="76BA1B42" w:tentative="1">
      <w:start w:val="1"/>
      <w:numFmt w:val="bullet"/>
      <w:lvlText w:val=""/>
      <w:lvlJc w:val="left"/>
      <w:pPr>
        <w:tabs>
          <w:tab w:val="num" w:pos="2160"/>
        </w:tabs>
        <w:ind w:left="2160" w:hanging="360"/>
      </w:pPr>
      <w:rPr>
        <w:rFonts w:ascii="Wingdings" w:hAnsi="Wingdings" w:hint="default"/>
      </w:rPr>
    </w:lvl>
    <w:lvl w:ilvl="3" w:tplc="15F0E9EE" w:tentative="1">
      <w:start w:val="1"/>
      <w:numFmt w:val="bullet"/>
      <w:lvlText w:val=""/>
      <w:lvlJc w:val="left"/>
      <w:pPr>
        <w:tabs>
          <w:tab w:val="num" w:pos="2880"/>
        </w:tabs>
        <w:ind w:left="2880" w:hanging="360"/>
      </w:pPr>
      <w:rPr>
        <w:rFonts w:ascii="Symbol" w:hAnsi="Symbol" w:hint="default"/>
      </w:rPr>
    </w:lvl>
    <w:lvl w:ilvl="4" w:tplc="11A2F7D8" w:tentative="1">
      <w:start w:val="1"/>
      <w:numFmt w:val="bullet"/>
      <w:lvlText w:val="o"/>
      <w:lvlJc w:val="left"/>
      <w:pPr>
        <w:tabs>
          <w:tab w:val="num" w:pos="3600"/>
        </w:tabs>
        <w:ind w:left="3600" w:hanging="360"/>
      </w:pPr>
      <w:rPr>
        <w:rFonts w:ascii="Courier New" w:hAnsi="Courier New" w:hint="default"/>
      </w:rPr>
    </w:lvl>
    <w:lvl w:ilvl="5" w:tplc="D51E70EE" w:tentative="1">
      <w:start w:val="1"/>
      <w:numFmt w:val="bullet"/>
      <w:lvlText w:val=""/>
      <w:lvlJc w:val="left"/>
      <w:pPr>
        <w:tabs>
          <w:tab w:val="num" w:pos="4320"/>
        </w:tabs>
        <w:ind w:left="4320" w:hanging="360"/>
      </w:pPr>
      <w:rPr>
        <w:rFonts w:ascii="Wingdings" w:hAnsi="Wingdings" w:hint="default"/>
      </w:rPr>
    </w:lvl>
    <w:lvl w:ilvl="6" w:tplc="CC46155A" w:tentative="1">
      <w:start w:val="1"/>
      <w:numFmt w:val="bullet"/>
      <w:lvlText w:val=""/>
      <w:lvlJc w:val="left"/>
      <w:pPr>
        <w:tabs>
          <w:tab w:val="num" w:pos="5040"/>
        </w:tabs>
        <w:ind w:left="5040" w:hanging="360"/>
      </w:pPr>
      <w:rPr>
        <w:rFonts w:ascii="Symbol" w:hAnsi="Symbol" w:hint="default"/>
      </w:rPr>
    </w:lvl>
    <w:lvl w:ilvl="7" w:tplc="715424AC" w:tentative="1">
      <w:start w:val="1"/>
      <w:numFmt w:val="bullet"/>
      <w:lvlText w:val="o"/>
      <w:lvlJc w:val="left"/>
      <w:pPr>
        <w:tabs>
          <w:tab w:val="num" w:pos="5760"/>
        </w:tabs>
        <w:ind w:left="5760" w:hanging="360"/>
      </w:pPr>
      <w:rPr>
        <w:rFonts w:ascii="Courier New" w:hAnsi="Courier New" w:hint="default"/>
      </w:rPr>
    </w:lvl>
    <w:lvl w:ilvl="8" w:tplc="39CA80F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E9B2156"/>
    <w:multiLevelType w:val="singleLevel"/>
    <w:tmpl w:val="FC10802C"/>
    <w:lvl w:ilvl="0">
      <w:start w:val="1"/>
      <w:numFmt w:val="bullet"/>
      <w:pStyle w:val="BodyText-List"/>
      <w:lvlText w:val=""/>
      <w:lvlJc w:val="left"/>
      <w:pPr>
        <w:tabs>
          <w:tab w:val="num" w:pos="1418"/>
        </w:tabs>
        <w:ind w:left="1418" w:hanging="567"/>
      </w:pPr>
      <w:rPr>
        <w:rFonts w:ascii="Symbol" w:hAnsi="Symbol" w:hint="default"/>
        <w:color w:val="auto"/>
        <w:sz w:val="18"/>
      </w:rPr>
    </w:lvl>
  </w:abstractNum>
  <w:abstractNum w:abstractNumId="29" w15:restartNumberingAfterBreak="0">
    <w:nsid w:val="32B04E30"/>
    <w:multiLevelType w:val="hybridMultilevel"/>
    <w:tmpl w:val="BBEAAF48"/>
    <w:lvl w:ilvl="0" w:tplc="0944D490">
      <w:start w:val="1"/>
      <w:numFmt w:val="bullet"/>
      <w:pStyle w:val="TableText-ListIndent"/>
      <w:lvlText w:val=""/>
      <w:lvlJc w:val="left"/>
      <w:pPr>
        <w:tabs>
          <w:tab w:val="num" w:pos="284"/>
        </w:tabs>
        <w:ind w:left="284" w:hanging="142"/>
      </w:pPr>
      <w:rPr>
        <w:rFonts w:ascii="Symbol" w:hAnsi="Symbol" w:hint="default"/>
        <w:color w:val="auto"/>
        <w:sz w:val="12"/>
      </w:rPr>
    </w:lvl>
    <w:lvl w:ilvl="1" w:tplc="2886EB30" w:tentative="1">
      <w:start w:val="1"/>
      <w:numFmt w:val="bullet"/>
      <w:lvlText w:val="o"/>
      <w:lvlJc w:val="left"/>
      <w:pPr>
        <w:tabs>
          <w:tab w:val="num" w:pos="1440"/>
        </w:tabs>
        <w:ind w:left="1440" w:hanging="360"/>
      </w:pPr>
      <w:rPr>
        <w:rFonts w:ascii="Courier New" w:hAnsi="Courier New" w:hint="default"/>
      </w:rPr>
    </w:lvl>
    <w:lvl w:ilvl="2" w:tplc="2AF2D676" w:tentative="1">
      <w:start w:val="1"/>
      <w:numFmt w:val="bullet"/>
      <w:lvlText w:val=""/>
      <w:lvlJc w:val="left"/>
      <w:pPr>
        <w:tabs>
          <w:tab w:val="num" w:pos="2160"/>
        </w:tabs>
        <w:ind w:left="2160" w:hanging="360"/>
      </w:pPr>
      <w:rPr>
        <w:rFonts w:ascii="Wingdings" w:hAnsi="Wingdings" w:hint="default"/>
      </w:rPr>
    </w:lvl>
    <w:lvl w:ilvl="3" w:tplc="FB50DF4E" w:tentative="1">
      <w:start w:val="1"/>
      <w:numFmt w:val="bullet"/>
      <w:lvlText w:val=""/>
      <w:lvlJc w:val="left"/>
      <w:pPr>
        <w:tabs>
          <w:tab w:val="num" w:pos="2880"/>
        </w:tabs>
        <w:ind w:left="2880" w:hanging="360"/>
      </w:pPr>
      <w:rPr>
        <w:rFonts w:ascii="Symbol" w:hAnsi="Symbol" w:hint="default"/>
      </w:rPr>
    </w:lvl>
    <w:lvl w:ilvl="4" w:tplc="5266A9BC" w:tentative="1">
      <w:start w:val="1"/>
      <w:numFmt w:val="bullet"/>
      <w:lvlText w:val="o"/>
      <w:lvlJc w:val="left"/>
      <w:pPr>
        <w:tabs>
          <w:tab w:val="num" w:pos="3600"/>
        </w:tabs>
        <w:ind w:left="3600" w:hanging="360"/>
      </w:pPr>
      <w:rPr>
        <w:rFonts w:ascii="Courier New" w:hAnsi="Courier New" w:hint="default"/>
      </w:rPr>
    </w:lvl>
    <w:lvl w:ilvl="5" w:tplc="22F45E0C" w:tentative="1">
      <w:start w:val="1"/>
      <w:numFmt w:val="bullet"/>
      <w:lvlText w:val=""/>
      <w:lvlJc w:val="left"/>
      <w:pPr>
        <w:tabs>
          <w:tab w:val="num" w:pos="4320"/>
        </w:tabs>
        <w:ind w:left="4320" w:hanging="360"/>
      </w:pPr>
      <w:rPr>
        <w:rFonts w:ascii="Wingdings" w:hAnsi="Wingdings" w:hint="default"/>
      </w:rPr>
    </w:lvl>
    <w:lvl w:ilvl="6" w:tplc="6F021A26" w:tentative="1">
      <w:start w:val="1"/>
      <w:numFmt w:val="bullet"/>
      <w:lvlText w:val=""/>
      <w:lvlJc w:val="left"/>
      <w:pPr>
        <w:tabs>
          <w:tab w:val="num" w:pos="5040"/>
        </w:tabs>
        <w:ind w:left="5040" w:hanging="360"/>
      </w:pPr>
      <w:rPr>
        <w:rFonts w:ascii="Symbol" w:hAnsi="Symbol" w:hint="default"/>
      </w:rPr>
    </w:lvl>
    <w:lvl w:ilvl="7" w:tplc="909E8448" w:tentative="1">
      <w:start w:val="1"/>
      <w:numFmt w:val="bullet"/>
      <w:lvlText w:val="o"/>
      <w:lvlJc w:val="left"/>
      <w:pPr>
        <w:tabs>
          <w:tab w:val="num" w:pos="5760"/>
        </w:tabs>
        <w:ind w:left="5760" w:hanging="360"/>
      </w:pPr>
      <w:rPr>
        <w:rFonts w:ascii="Courier New" w:hAnsi="Courier New" w:hint="default"/>
      </w:rPr>
    </w:lvl>
    <w:lvl w:ilvl="8" w:tplc="2FBEFA5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39C2ED9"/>
    <w:multiLevelType w:val="multilevel"/>
    <w:tmpl w:val="1F682A28"/>
    <w:styleLink w:val="Headings"/>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15:restartNumberingAfterBreak="0">
    <w:nsid w:val="3E837903"/>
    <w:multiLevelType w:val="hybridMultilevel"/>
    <w:tmpl w:val="BACE058A"/>
    <w:lvl w:ilvl="0" w:tplc="0B5C2C74">
      <w:start w:val="1"/>
      <w:numFmt w:val="bullet"/>
      <w:pStyle w:val="BodyText-List-Indent"/>
      <w:lvlText w:val=""/>
      <w:lvlJc w:val="left"/>
      <w:pPr>
        <w:tabs>
          <w:tab w:val="num" w:pos="1985"/>
        </w:tabs>
        <w:ind w:left="1985" w:hanging="567"/>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ECE1F1A"/>
    <w:multiLevelType w:val="hybridMultilevel"/>
    <w:tmpl w:val="183E646A"/>
    <w:lvl w:ilvl="0" w:tplc="FFFFFFFF">
      <w:start w:val="1"/>
      <w:numFmt w:val="bullet"/>
      <w:pStyle w:val="Figure-List"/>
      <w:lvlText w:val=""/>
      <w:lvlJc w:val="left"/>
      <w:pPr>
        <w:tabs>
          <w:tab w:val="num" w:pos="360"/>
        </w:tabs>
        <w:ind w:left="227" w:hanging="227"/>
      </w:pPr>
      <w:rPr>
        <w:rFonts w:ascii="Wingdings" w:hAnsi="Wingdings"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7D50479"/>
    <w:multiLevelType w:val="multilevel"/>
    <w:tmpl w:val="28E66356"/>
    <w:styleLink w:val="ListAlphanumericmaster"/>
    <w:lvl w:ilvl="0">
      <w:start w:val="1"/>
      <w:numFmt w:val="lowerLetter"/>
      <w:lvlText w:val="%1)"/>
      <w:lvlJc w:val="left"/>
      <w:pPr>
        <w:ind w:left="357" w:hanging="357"/>
      </w:pPr>
      <w:rPr>
        <w:rFonts w:cs="Times New Roman" w:hint="default"/>
      </w:rPr>
    </w:lvl>
    <w:lvl w:ilvl="1">
      <w:start w:val="1"/>
      <w:numFmt w:val="lowerRoman"/>
      <w:lvlText w:val="%2)"/>
      <w:lvlJc w:val="left"/>
      <w:pPr>
        <w:ind w:left="714" w:hanging="357"/>
      </w:pPr>
      <w:rPr>
        <w:rFonts w:cs="Times New Roman" w:hint="default"/>
      </w:rPr>
    </w:lvl>
    <w:lvl w:ilvl="2">
      <w:start w:val="1"/>
      <w:numFmt w:val="lowerRoman"/>
      <w:lvlText w:val="(%3)"/>
      <w:lvlJc w:val="left"/>
      <w:pPr>
        <w:ind w:left="1361" w:hanging="454"/>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4" w15:restartNumberingAfterBreak="0">
    <w:nsid w:val="53B336B0"/>
    <w:multiLevelType w:val="multilevel"/>
    <w:tmpl w:val="B8261A2A"/>
    <w:lvl w:ilvl="0">
      <w:start w:val="1"/>
      <w:numFmt w:val="decimal"/>
      <w:lvlRestart w:val="0"/>
      <w:pStyle w:val="Level1-Heading"/>
      <w:lvlText w:val="%1."/>
      <w:lvlJc w:val="left"/>
      <w:pPr>
        <w:tabs>
          <w:tab w:val="num" w:pos="850"/>
        </w:tabs>
        <w:ind w:left="850" w:hanging="850"/>
      </w:pPr>
      <w:rPr>
        <w:rFonts w:ascii="Verdana" w:hAnsi="Verdana" w:cs="Times New Roman" w:hint="default"/>
        <w:b/>
        <w:i w:val="0"/>
        <w:sz w:val="20"/>
      </w:rPr>
    </w:lvl>
    <w:lvl w:ilvl="1">
      <w:start w:val="1"/>
      <w:numFmt w:val="decimal"/>
      <w:pStyle w:val="Level2-Heading"/>
      <w:lvlText w:val="%1.%2"/>
      <w:lvlJc w:val="left"/>
      <w:pPr>
        <w:tabs>
          <w:tab w:val="num" w:pos="850"/>
        </w:tabs>
        <w:ind w:left="850" w:hanging="850"/>
      </w:pPr>
      <w:rPr>
        <w:rFonts w:ascii="Verdana" w:hAnsi="Verdana" w:cs="Times New Roman" w:hint="default"/>
        <w:b/>
        <w:i w:val="0"/>
        <w:sz w:val="20"/>
      </w:rPr>
    </w:lvl>
    <w:lvl w:ilvl="2">
      <w:start w:val="1"/>
      <w:numFmt w:val="decimal"/>
      <w:pStyle w:val="Level3-Heading"/>
      <w:lvlText w:val="%1.%2.%3"/>
      <w:lvlJc w:val="left"/>
      <w:pPr>
        <w:tabs>
          <w:tab w:val="num" w:pos="850"/>
        </w:tabs>
        <w:ind w:left="850" w:hanging="850"/>
      </w:pPr>
      <w:rPr>
        <w:rFonts w:ascii="Verdana" w:hAnsi="Verdana" w:cs="Times New Roman" w:hint="default"/>
        <w:b w:val="0"/>
        <w:i w:val="0"/>
        <w:sz w:val="20"/>
      </w:rPr>
    </w:lvl>
    <w:lvl w:ilvl="3">
      <w:start w:val="1"/>
      <w:numFmt w:val="decimal"/>
      <w:pStyle w:val="Level4-Heading"/>
      <w:lvlText w:val="%1.%2.%3.%4"/>
      <w:lvlJc w:val="left"/>
      <w:pPr>
        <w:tabs>
          <w:tab w:val="num" w:pos="850"/>
        </w:tabs>
        <w:ind w:left="850" w:hanging="850"/>
      </w:pPr>
      <w:rPr>
        <w:rFonts w:ascii="Verdana" w:hAnsi="Verdana" w:cs="Times New Roman" w:hint="default"/>
        <w:b w:val="0"/>
        <w:i w:val="0"/>
        <w:sz w:val="20"/>
      </w:rPr>
    </w:lvl>
    <w:lvl w:ilvl="4">
      <w:start w:val="1"/>
      <w:numFmt w:val="lowerLetter"/>
      <w:pStyle w:val="LevelBody1-a"/>
      <w:lvlText w:val="(%5)"/>
      <w:lvlJc w:val="left"/>
      <w:pPr>
        <w:tabs>
          <w:tab w:val="num" w:pos="1417"/>
        </w:tabs>
        <w:ind w:left="1417" w:hanging="567"/>
      </w:pPr>
      <w:rPr>
        <w:rFonts w:ascii="Verdana" w:hAnsi="Verdana" w:cs="Times New Roman" w:hint="default"/>
        <w:b w:val="0"/>
        <w:i w:val="0"/>
        <w:sz w:val="20"/>
      </w:rPr>
    </w:lvl>
    <w:lvl w:ilvl="5">
      <w:start w:val="1"/>
      <w:numFmt w:val="lowerRoman"/>
      <w:pStyle w:val="LevelBody2-i"/>
      <w:lvlText w:val="(%6)"/>
      <w:lvlJc w:val="left"/>
      <w:pPr>
        <w:tabs>
          <w:tab w:val="num" w:pos="1984"/>
        </w:tabs>
        <w:ind w:left="1984" w:hanging="567"/>
      </w:pPr>
      <w:rPr>
        <w:rFonts w:ascii="Verdana" w:hAnsi="Verdana" w:cs="Times New Roman" w:hint="default"/>
        <w:b w:val="0"/>
        <w:i w:val="0"/>
        <w:sz w:val="20"/>
      </w:rPr>
    </w:lvl>
    <w:lvl w:ilvl="6">
      <w:start w:val="1"/>
      <w:numFmt w:val="upperLetter"/>
      <w:pStyle w:val="LevelBody3-A"/>
      <w:lvlText w:val="(%7)"/>
      <w:lvlJc w:val="left"/>
      <w:pPr>
        <w:tabs>
          <w:tab w:val="num" w:pos="2551"/>
        </w:tabs>
        <w:ind w:left="2551" w:hanging="567"/>
      </w:pPr>
      <w:rPr>
        <w:rFonts w:ascii="Verdana" w:hAnsi="Verdana" w:cs="Times New Roman" w:hint="default"/>
      </w:rPr>
    </w:lvl>
    <w:lvl w:ilvl="7">
      <w:start w:val="1"/>
      <w:numFmt w:val="upperRoman"/>
      <w:pStyle w:val="LevelBody4-I"/>
      <w:lvlText w:val="(%8)"/>
      <w:lvlJc w:val="left"/>
      <w:pPr>
        <w:tabs>
          <w:tab w:val="num" w:pos="3118"/>
        </w:tabs>
        <w:ind w:left="3118" w:hanging="567"/>
      </w:pPr>
      <w:rPr>
        <w:rFonts w:ascii="Verdana" w:hAnsi="Verdana" w:cs="Times New Roman" w:hint="default"/>
      </w:rPr>
    </w:lvl>
    <w:lvl w:ilvl="8">
      <w:start w:val="1"/>
      <w:numFmt w:val="none"/>
      <w:suff w:val="nothing"/>
      <w:lvlText w:val=""/>
      <w:lvlJc w:val="left"/>
      <w:rPr>
        <w:rFonts w:ascii="Verdana" w:hAnsi="Verdana" w:cs="Times New Roman" w:hint="default"/>
      </w:rPr>
    </w:lvl>
  </w:abstractNum>
  <w:abstractNum w:abstractNumId="35" w15:restartNumberingAfterBreak="0">
    <w:nsid w:val="53E13826"/>
    <w:multiLevelType w:val="hybridMultilevel"/>
    <w:tmpl w:val="7486A0AC"/>
    <w:lvl w:ilvl="0" w:tplc="8AE86358">
      <w:start w:val="1"/>
      <w:numFmt w:val="bullet"/>
      <w:pStyle w:val="Bullet1Tightlessspacing"/>
      <w:lvlText w:val=""/>
      <w:lvlJc w:val="left"/>
      <w:pPr>
        <w:ind w:left="1080" w:hanging="360"/>
      </w:pPr>
      <w:rPr>
        <w:rFonts w:ascii="Symbol" w:hAnsi="Symbol" w:hint="default"/>
        <w:color w:val="E26E00"/>
        <w:sz w:val="18"/>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57A51FC2"/>
    <w:multiLevelType w:val="multilevel"/>
    <w:tmpl w:val="3C58879C"/>
    <w:styleLink w:val="TableListBulletmaster"/>
    <w:lvl w:ilvl="0">
      <w:start w:val="1"/>
      <w:numFmt w:val="bullet"/>
      <w:lvlText w:val=""/>
      <w:lvlJc w:val="left"/>
      <w:pPr>
        <w:ind w:left="340" w:hanging="283"/>
      </w:pPr>
      <w:rPr>
        <w:rFonts w:ascii="Symbol" w:hAnsi="Symbol" w:hint="default"/>
        <w:color w:val="auto"/>
      </w:rPr>
    </w:lvl>
    <w:lvl w:ilvl="1">
      <w:start w:val="1"/>
      <w:numFmt w:val="bullet"/>
      <w:lvlText w:val=""/>
      <w:lvlJc w:val="left"/>
      <w:pPr>
        <w:ind w:left="567" w:hanging="227"/>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7" w15:restartNumberingAfterBreak="0">
    <w:nsid w:val="5ED02300"/>
    <w:multiLevelType w:val="hybridMultilevel"/>
    <w:tmpl w:val="E90C0874"/>
    <w:lvl w:ilvl="0" w:tplc="58DE90D8">
      <w:start w:val="1"/>
      <w:numFmt w:val="decimal"/>
      <w:pStyle w:val="TableText-numbers"/>
      <w:lvlText w:val="%1."/>
      <w:lvlJc w:val="left"/>
      <w:pPr>
        <w:tabs>
          <w:tab w:val="num" w:pos="360"/>
        </w:tabs>
        <w:ind w:left="284" w:hanging="284"/>
      </w:pPr>
      <w:rPr>
        <w:rFonts w:cs="Times New Roman"/>
      </w:rPr>
    </w:lvl>
    <w:lvl w:ilvl="1" w:tplc="0C090003">
      <w:start w:val="1"/>
      <w:numFmt w:val="bullet"/>
      <w:lvlText w:val=""/>
      <w:lvlJc w:val="left"/>
      <w:pPr>
        <w:tabs>
          <w:tab w:val="num" w:pos="288"/>
        </w:tabs>
        <w:ind w:left="360" w:hanging="360"/>
      </w:pPr>
      <w:rPr>
        <w:rFonts w:ascii="Symbol" w:hAnsi="Symbol" w:hint="default"/>
      </w:rPr>
    </w:lvl>
    <w:lvl w:ilvl="2" w:tplc="0C090005" w:tentative="1">
      <w:start w:val="1"/>
      <w:numFmt w:val="lowerRoman"/>
      <w:lvlText w:val="%3."/>
      <w:lvlJc w:val="right"/>
      <w:pPr>
        <w:tabs>
          <w:tab w:val="num" w:pos="2160"/>
        </w:tabs>
        <w:ind w:left="2160" w:hanging="180"/>
      </w:pPr>
      <w:rPr>
        <w:rFonts w:cs="Times New Roman"/>
      </w:rPr>
    </w:lvl>
    <w:lvl w:ilvl="3" w:tplc="0C090001" w:tentative="1">
      <w:start w:val="1"/>
      <w:numFmt w:val="decimal"/>
      <w:lvlText w:val="%4."/>
      <w:lvlJc w:val="left"/>
      <w:pPr>
        <w:tabs>
          <w:tab w:val="num" w:pos="2880"/>
        </w:tabs>
        <w:ind w:left="2880" w:hanging="360"/>
      </w:pPr>
      <w:rPr>
        <w:rFonts w:cs="Times New Roman"/>
      </w:rPr>
    </w:lvl>
    <w:lvl w:ilvl="4" w:tplc="0C090003" w:tentative="1">
      <w:start w:val="1"/>
      <w:numFmt w:val="lowerLetter"/>
      <w:lvlText w:val="%5."/>
      <w:lvlJc w:val="left"/>
      <w:pPr>
        <w:tabs>
          <w:tab w:val="num" w:pos="3600"/>
        </w:tabs>
        <w:ind w:left="3600" w:hanging="360"/>
      </w:pPr>
      <w:rPr>
        <w:rFonts w:cs="Times New Roman"/>
      </w:rPr>
    </w:lvl>
    <w:lvl w:ilvl="5" w:tplc="0C090005" w:tentative="1">
      <w:start w:val="1"/>
      <w:numFmt w:val="lowerRoman"/>
      <w:lvlText w:val="%6."/>
      <w:lvlJc w:val="right"/>
      <w:pPr>
        <w:tabs>
          <w:tab w:val="num" w:pos="4320"/>
        </w:tabs>
        <w:ind w:left="4320" w:hanging="180"/>
      </w:pPr>
      <w:rPr>
        <w:rFonts w:cs="Times New Roman"/>
      </w:rPr>
    </w:lvl>
    <w:lvl w:ilvl="6" w:tplc="0C090001" w:tentative="1">
      <w:start w:val="1"/>
      <w:numFmt w:val="decimal"/>
      <w:lvlText w:val="%7."/>
      <w:lvlJc w:val="left"/>
      <w:pPr>
        <w:tabs>
          <w:tab w:val="num" w:pos="5040"/>
        </w:tabs>
        <w:ind w:left="5040" w:hanging="360"/>
      </w:pPr>
      <w:rPr>
        <w:rFonts w:cs="Times New Roman"/>
      </w:rPr>
    </w:lvl>
    <w:lvl w:ilvl="7" w:tplc="0C090003" w:tentative="1">
      <w:start w:val="1"/>
      <w:numFmt w:val="lowerLetter"/>
      <w:lvlText w:val="%8."/>
      <w:lvlJc w:val="left"/>
      <w:pPr>
        <w:tabs>
          <w:tab w:val="num" w:pos="5760"/>
        </w:tabs>
        <w:ind w:left="5760" w:hanging="360"/>
      </w:pPr>
      <w:rPr>
        <w:rFonts w:cs="Times New Roman"/>
      </w:rPr>
    </w:lvl>
    <w:lvl w:ilvl="8" w:tplc="0C090005" w:tentative="1">
      <w:start w:val="1"/>
      <w:numFmt w:val="lowerRoman"/>
      <w:lvlText w:val="%9."/>
      <w:lvlJc w:val="right"/>
      <w:pPr>
        <w:tabs>
          <w:tab w:val="num" w:pos="6480"/>
        </w:tabs>
        <w:ind w:left="6480" w:hanging="180"/>
      </w:pPr>
      <w:rPr>
        <w:rFonts w:cs="Times New Roman"/>
      </w:rPr>
    </w:lvl>
  </w:abstractNum>
  <w:abstractNum w:abstractNumId="38" w15:restartNumberingAfterBreak="0">
    <w:nsid w:val="5F686764"/>
    <w:multiLevelType w:val="hybridMultilevel"/>
    <w:tmpl w:val="8FBA7F5E"/>
    <w:lvl w:ilvl="0" w:tplc="CC7650DC">
      <w:start w:val="1"/>
      <w:numFmt w:val="bullet"/>
      <w:pStyle w:val="TableText-List"/>
      <w:lvlText w:val=""/>
      <w:lvlJc w:val="left"/>
      <w:pPr>
        <w:tabs>
          <w:tab w:val="num" w:pos="142"/>
        </w:tabs>
        <w:ind w:left="142" w:hanging="142"/>
      </w:pPr>
      <w:rPr>
        <w:rFonts w:ascii="Wingdings" w:hAnsi="Wingdings" w:hint="default"/>
      </w:rPr>
    </w:lvl>
    <w:lvl w:ilvl="1" w:tplc="0F78D536">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2047795"/>
    <w:multiLevelType w:val="multilevel"/>
    <w:tmpl w:val="7CBCBEF2"/>
    <w:lvl w:ilvl="0">
      <w:start w:val="1"/>
      <w:numFmt w:val="decimal"/>
      <w:lvlText w:val="%1"/>
      <w:lvlJc w:val="left"/>
      <w:pPr>
        <w:tabs>
          <w:tab w:val="num" w:pos="1021"/>
        </w:tabs>
        <w:ind w:left="1021" w:hanging="1021"/>
      </w:pPr>
      <w:rPr>
        <w:rFonts w:cs="Times New Roman" w:hint="default"/>
      </w:rPr>
    </w:lvl>
    <w:lvl w:ilvl="1">
      <w:start w:val="1"/>
      <w:numFmt w:val="decimal"/>
      <w:lvlText w:val="%1.%2"/>
      <w:lvlJc w:val="left"/>
      <w:pPr>
        <w:tabs>
          <w:tab w:val="num" w:pos="1021"/>
        </w:tabs>
        <w:ind w:left="1021" w:hanging="1021"/>
      </w:pPr>
      <w:rPr>
        <w:rFonts w:cs="Times New Roman" w:hint="default"/>
      </w:rPr>
    </w:lvl>
    <w:lvl w:ilvl="2">
      <w:start w:val="1"/>
      <w:numFmt w:val="decimal"/>
      <w:lvlText w:val="%1.%2.%3"/>
      <w:lvlJc w:val="left"/>
      <w:pPr>
        <w:tabs>
          <w:tab w:val="num" w:pos="1021"/>
        </w:tabs>
        <w:ind w:left="1021" w:hanging="1021"/>
      </w:pPr>
      <w:rPr>
        <w:rFonts w:cs="Times New Roman" w:hint="default"/>
      </w:rPr>
    </w:lvl>
    <w:lvl w:ilvl="3">
      <w:start w:val="1"/>
      <w:numFmt w:val="decimal"/>
      <w:lvlText w:val="%1.%2.%3.%4"/>
      <w:lvlJc w:val="left"/>
      <w:pPr>
        <w:tabs>
          <w:tab w:val="num" w:pos="1021"/>
        </w:tabs>
        <w:ind w:left="1021" w:hanging="1021"/>
      </w:pPr>
      <w:rPr>
        <w:rFonts w:cs="Times New Roman" w:hint="default"/>
      </w:rPr>
    </w:lvl>
    <w:lvl w:ilvl="4">
      <w:start w:val="1"/>
      <w:numFmt w:val="none"/>
      <w:pStyle w:val="Heading5"/>
      <w:lvlText w:val=""/>
      <w:lvlJc w:val="left"/>
      <w:pPr>
        <w:tabs>
          <w:tab w:val="num" w:pos="0"/>
        </w:tabs>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62C27C10"/>
    <w:multiLevelType w:val="hybridMultilevel"/>
    <w:tmpl w:val="6E0EB2DE"/>
    <w:lvl w:ilvl="0" w:tplc="5E707B34">
      <w:start w:val="9"/>
      <w:numFmt w:val="bullet"/>
      <w:pStyle w:val="Titlepagecontentslistindented"/>
      <w:lvlText w:val="-"/>
      <w:lvlJc w:val="left"/>
      <w:pPr>
        <w:tabs>
          <w:tab w:val="num" w:pos="1040"/>
        </w:tabs>
        <w:ind w:left="1040" w:hanging="360"/>
      </w:pPr>
      <w:rPr>
        <w:rFonts w:ascii="Times New Roman" w:eastAsia="Times New Roman" w:hAnsi="Times New Roman" w:hint="default"/>
      </w:rPr>
    </w:lvl>
    <w:lvl w:ilvl="1" w:tplc="FFFFFFFF" w:tentative="1">
      <w:start w:val="1"/>
      <w:numFmt w:val="bullet"/>
      <w:lvlText w:val="o"/>
      <w:lvlJc w:val="left"/>
      <w:pPr>
        <w:tabs>
          <w:tab w:val="num" w:pos="1760"/>
        </w:tabs>
        <w:ind w:left="1760" w:hanging="360"/>
      </w:pPr>
      <w:rPr>
        <w:rFonts w:ascii="Courier New" w:hAnsi="Courier New" w:hint="default"/>
      </w:rPr>
    </w:lvl>
    <w:lvl w:ilvl="2" w:tplc="FFFFFFFF" w:tentative="1">
      <w:start w:val="1"/>
      <w:numFmt w:val="bullet"/>
      <w:lvlText w:val=""/>
      <w:lvlJc w:val="left"/>
      <w:pPr>
        <w:tabs>
          <w:tab w:val="num" w:pos="2480"/>
        </w:tabs>
        <w:ind w:left="2480" w:hanging="360"/>
      </w:pPr>
      <w:rPr>
        <w:rFonts w:ascii="Wingdings" w:hAnsi="Wingdings" w:hint="default"/>
      </w:rPr>
    </w:lvl>
    <w:lvl w:ilvl="3" w:tplc="FFFFFFFF" w:tentative="1">
      <w:start w:val="1"/>
      <w:numFmt w:val="bullet"/>
      <w:lvlText w:val=""/>
      <w:lvlJc w:val="left"/>
      <w:pPr>
        <w:tabs>
          <w:tab w:val="num" w:pos="3200"/>
        </w:tabs>
        <w:ind w:left="3200" w:hanging="360"/>
      </w:pPr>
      <w:rPr>
        <w:rFonts w:ascii="Symbol" w:hAnsi="Symbol" w:hint="default"/>
      </w:rPr>
    </w:lvl>
    <w:lvl w:ilvl="4" w:tplc="FFFFFFFF" w:tentative="1">
      <w:start w:val="1"/>
      <w:numFmt w:val="bullet"/>
      <w:lvlText w:val="o"/>
      <w:lvlJc w:val="left"/>
      <w:pPr>
        <w:tabs>
          <w:tab w:val="num" w:pos="3920"/>
        </w:tabs>
        <w:ind w:left="3920" w:hanging="360"/>
      </w:pPr>
      <w:rPr>
        <w:rFonts w:ascii="Courier New" w:hAnsi="Courier New" w:hint="default"/>
      </w:rPr>
    </w:lvl>
    <w:lvl w:ilvl="5" w:tplc="FFFFFFFF" w:tentative="1">
      <w:start w:val="1"/>
      <w:numFmt w:val="bullet"/>
      <w:lvlText w:val=""/>
      <w:lvlJc w:val="left"/>
      <w:pPr>
        <w:tabs>
          <w:tab w:val="num" w:pos="4640"/>
        </w:tabs>
        <w:ind w:left="4640" w:hanging="360"/>
      </w:pPr>
      <w:rPr>
        <w:rFonts w:ascii="Wingdings" w:hAnsi="Wingdings" w:hint="default"/>
      </w:rPr>
    </w:lvl>
    <w:lvl w:ilvl="6" w:tplc="FFFFFFFF" w:tentative="1">
      <w:start w:val="1"/>
      <w:numFmt w:val="bullet"/>
      <w:lvlText w:val=""/>
      <w:lvlJc w:val="left"/>
      <w:pPr>
        <w:tabs>
          <w:tab w:val="num" w:pos="5360"/>
        </w:tabs>
        <w:ind w:left="5360" w:hanging="360"/>
      </w:pPr>
      <w:rPr>
        <w:rFonts w:ascii="Symbol" w:hAnsi="Symbol" w:hint="default"/>
      </w:rPr>
    </w:lvl>
    <w:lvl w:ilvl="7" w:tplc="FFFFFFFF" w:tentative="1">
      <w:start w:val="1"/>
      <w:numFmt w:val="bullet"/>
      <w:lvlText w:val="o"/>
      <w:lvlJc w:val="left"/>
      <w:pPr>
        <w:tabs>
          <w:tab w:val="num" w:pos="6080"/>
        </w:tabs>
        <w:ind w:left="6080" w:hanging="360"/>
      </w:pPr>
      <w:rPr>
        <w:rFonts w:ascii="Courier New" w:hAnsi="Courier New" w:hint="default"/>
      </w:rPr>
    </w:lvl>
    <w:lvl w:ilvl="8" w:tplc="FFFFFFFF" w:tentative="1">
      <w:start w:val="1"/>
      <w:numFmt w:val="bullet"/>
      <w:lvlText w:val=""/>
      <w:lvlJc w:val="left"/>
      <w:pPr>
        <w:tabs>
          <w:tab w:val="num" w:pos="6800"/>
        </w:tabs>
        <w:ind w:left="6800" w:hanging="360"/>
      </w:pPr>
      <w:rPr>
        <w:rFonts w:ascii="Wingdings" w:hAnsi="Wingdings" w:hint="default"/>
      </w:rPr>
    </w:lvl>
  </w:abstractNum>
  <w:abstractNum w:abstractNumId="41" w15:restartNumberingAfterBreak="0">
    <w:nsid w:val="648E6CBA"/>
    <w:multiLevelType w:val="multilevel"/>
    <w:tmpl w:val="540CA368"/>
    <w:styleLink w:val="ListBulletmaster"/>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BCC4772"/>
    <w:multiLevelType w:val="hybridMultilevel"/>
    <w:tmpl w:val="6C44DF9C"/>
    <w:lvl w:ilvl="0" w:tplc="78FE35DA">
      <w:start w:val="1"/>
      <w:numFmt w:val="bullet"/>
      <w:pStyle w:val="GuidanceText-List"/>
      <w:lvlText w:val=""/>
      <w:lvlJc w:val="left"/>
      <w:pPr>
        <w:tabs>
          <w:tab w:val="num" w:pos="1418"/>
        </w:tabs>
        <w:ind w:left="1418" w:hanging="567"/>
      </w:pPr>
      <w:rPr>
        <w:rFonts w:ascii="Symbol" w:hAnsi="Symbol" w:hint="default"/>
        <w:color w:val="0000FF"/>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BCD6DC5"/>
    <w:multiLevelType w:val="hybridMultilevel"/>
    <w:tmpl w:val="342CEC4E"/>
    <w:lvl w:ilvl="0" w:tplc="456A5824">
      <w:start w:val="1"/>
      <w:numFmt w:val="bullet"/>
      <w:pStyle w:val="TableText-ListItalics"/>
      <w:lvlText w:val=""/>
      <w:lvlJc w:val="left"/>
      <w:pPr>
        <w:tabs>
          <w:tab w:val="num" w:pos="142"/>
        </w:tabs>
        <w:ind w:left="142" w:hanging="142"/>
      </w:pPr>
      <w:rPr>
        <w:rFonts w:ascii="Wingdings" w:hAnsi="Wingdings" w:hint="default"/>
        <w:sz w:val="1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BF97656"/>
    <w:multiLevelType w:val="hybridMultilevel"/>
    <w:tmpl w:val="49C8F17C"/>
    <w:lvl w:ilvl="0" w:tplc="1A98B12A">
      <w:start w:val="1"/>
      <w:numFmt w:val="upperLetter"/>
      <w:pStyle w:val="Level0-Recitals"/>
      <w:lvlText w:val="%1"/>
      <w:lvlJc w:val="left"/>
      <w:pPr>
        <w:tabs>
          <w:tab w:val="num" w:pos="709"/>
        </w:tabs>
        <w:ind w:left="709" w:hanging="709"/>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5" w15:restartNumberingAfterBreak="0">
    <w:nsid w:val="6C3F031A"/>
    <w:multiLevelType w:val="multilevel"/>
    <w:tmpl w:val="A1224394"/>
    <w:numStyleLink w:val="ListLegalmaster"/>
  </w:abstractNum>
  <w:abstractNum w:abstractNumId="46" w15:restartNumberingAfterBreak="0">
    <w:nsid w:val="6DBF0135"/>
    <w:multiLevelType w:val="multilevel"/>
    <w:tmpl w:val="062642BC"/>
    <w:styleLink w:val="RecommendationListmaster"/>
    <w:lvl w:ilvl="0">
      <w:start w:val="1"/>
      <w:numFmt w:val="none"/>
      <w:pStyle w:val="RecommendationsHeading"/>
      <w:lvlText w:val="Recommendations"/>
      <w:lvlJc w:val="left"/>
      <w:pPr>
        <w:ind w:left="360" w:hanging="360"/>
      </w:pPr>
      <w:rPr>
        <w:rFonts w:cs="Times New Roman" w:hint="default"/>
      </w:rPr>
    </w:lvl>
    <w:lvl w:ilvl="1">
      <w:start w:val="1"/>
      <w:numFmt w:val="decimal"/>
      <w:pStyle w:val="RecommendationList"/>
      <w:lvlText w:val="Recommendation %2."/>
      <w:lvlJc w:val="left"/>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7" w15:restartNumberingAfterBreak="0">
    <w:nsid w:val="6F571BE7"/>
    <w:multiLevelType w:val="multilevel"/>
    <w:tmpl w:val="3C58879C"/>
    <w:numStyleLink w:val="TableListBulletmaster"/>
  </w:abstractNum>
  <w:abstractNum w:abstractNumId="48" w15:restartNumberingAfterBreak="0">
    <w:nsid w:val="750B0826"/>
    <w:multiLevelType w:val="multilevel"/>
    <w:tmpl w:val="69C6531C"/>
    <w:numStyleLink w:val="ListNumbermaster"/>
  </w:abstractNum>
  <w:abstractNum w:abstractNumId="49" w15:restartNumberingAfterBreak="0">
    <w:nsid w:val="75982498"/>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0" w15:restartNumberingAfterBreak="0">
    <w:nsid w:val="76393400"/>
    <w:multiLevelType w:val="multilevel"/>
    <w:tmpl w:val="A9EC56C0"/>
    <w:lvl w:ilvl="0">
      <w:start w:val="1"/>
      <w:numFmt w:val="decimal"/>
      <w:lvlRestart w:val="0"/>
      <w:pStyle w:val="BodyText-NumberedList1"/>
      <w:lvlText w:val="%1)"/>
      <w:lvlJc w:val="left"/>
      <w:pPr>
        <w:tabs>
          <w:tab w:val="num" w:pos="1417"/>
        </w:tabs>
        <w:ind w:left="1417" w:hanging="567"/>
      </w:pPr>
      <w:rPr>
        <w:rFonts w:ascii="Verdana" w:hAnsi="Verdana" w:cs="Times New Roman" w:hint="default"/>
      </w:rPr>
    </w:lvl>
    <w:lvl w:ilvl="1">
      <w:start w:val="1"/>
      <w:numFmt w:val="lowerLetter"/>
      <w:pStyle w:val="BodyText-NumberedLista"/>
      <w:lvlText w:val="%2."/>
      <w:lvlJc w:val="left"/>
      <w:pPr>
        <w:tabs>
          <w:tab w:val="num" w:pos="1984"/>
        </w:tabs>
        <w:ind w:left="1984" w:hanging="567"/>
      </w:pPr>
      <w:rPr>
        <w:rFonts w:ascii="Verdana" w:hAnsi="Verdana" w:cs="Times New Roman" w:hint="default"/>
      </w:rPr>
    </w:lvl>
    <w:lvl w:ilvl="2">
      <w:start w:val="1"/>
      <w:numFmt w:val="lowerRoman"/>
      <w:pStyle w:val="BodyText-NumberedListi"/>
      <w:lvlText w:val="%3."/>
      <w:lvlJc w:val="left"/>
      <w:pPr>
        <w:tabs>
          <w:tab w:val="num" w:pos="2449"/>
        </w:tabs>
        <w:ind w:left="2449" w:hanging="465"/>
      </w:pPr>
      <w:rPr>
        <w:rFonts w:ascii="Verdana" w:hAnsi="Verdana" w:cs="Times New Roman" w:hint="default"/>
      </w:rPr>
    </w:lvl>
    <w:lvl w:ilvl="3">
      <w:start w:val="1"/>
      <w:numFmt w:val="decimal"/>
      <w:pStyle w:val="BodyText-NumberedList10"/>
      <w:lvlText w:val="(%4)"/>
      <w:lvlJc w:val="left"/>
      <w:pPr>
        <w:tabs>
          <w:tab w:val="num" w:pos="3005"/>
        </w:tabs>
        <w:ind w:left="3005" w:hanging="556"/>
      </w:pPr>
      <w:rPr>
        <w:rFonts w:ascii="Verdana" w:hAnsi="Verdana" w:cs="Times New Roman" w:hint="default"/>
      </w:rPr>
    </w:lvl>
    <w:lvl w:ilvl="4">
      <w:start w:val="1"/>
      <w:numFmt w:val="decimal"/>
      <w:lvlText w:val="%1.%2.%3.%4.%5."/>
      <w:lvlJc w:val="left"/>
      <w:pPr>
        <w:tabs>
          <w:tab w:val="num" w:pos="3084"/>
        </w:tabs>
        <w:ind w:left="3084" w:hanging="794"/>
      </w:pPr>
      <w:rPr>
        <w:rFonts w:ascii="Verdana" w:hAnsi="Verdana" w:cs="Times New Roman" w:hint="default"/>
      </w:rPr>
    </w:lvl>
    <w:lvl w:ilvl="5">
      <w:start w:val="1"/>
      <w:numFmt w:val="decimal"/>
      <w:lvlText w:val="%1.%2.%3.%4.%5.%6."/>
      <w:lvlJc w:val="left"/>
      <w:pPr>
        <w:tabs>
          <w:tab w:val="num" w:pos="3589"/>
        </w:tabs>
        <w:ind w:left="3589" w:hanging="936"/>
      </w:pPr>
      <w:rPr>
        <w:rFonts w:ascii="Verdana" w:hAnsi="Verdana" w:cs="Times New Roman" w:hint="default"/>
      </w:rPr>
    </w:lvl>
    <w:lvl w:ilvl="6">
      <w:start w:val="1"/>
      <w:numFmt w:val="decimal"/>
      <w:lvlText w:val="%1.%2.%3.%4.%5.%6.%7."/>
      <w:lvlJc w:val="left"/>
      <w:pPr>
        <w:tabs>
          <w:tab w:val="num" w:pos="4093"/>
        </w:tabs>
        <w:ind w:left="4093" w:hanging="1083"/>
      </w:pPr>
      <w:rPr>
        <w:rFonts w:ascii="Verdana" w:hAnsi="Verdana" w:cs="Times New Roman" w:hint="default"/>
      </w:rPr>
    </w:lvl>
    <w:lvl w:ilvl="7">
      <w:start w:val="1"/>
      <w:numFmt w:val="decimal"/>
      <w:lvlText w:val="%1.%2.%3.%4.%5.%6.%7.%8."/>
      <w:lvlJc w:val="left"/>
      <w:pPr>
        <w:tabs>
          <w:tab w:val="num" w:pos="4592"/>
        </w:tabs>
        <w:ind w:left="4592" w:hanging="1219"/>
      </w:pPr>
      <w:rPr>
        <w:rFonts w:ascii="Verdana" w:hAnsi="Verdana" w:cs="Times New Roman" w:hint="default"/>
      </w:rPr>
    </w:lvl>
    <w:lvl w:ilvl="8">
      <w:start w:val="1"/>
      <w:numFmt w:val="decimal"/>
      <w:lvlText w:val="%1.%2.%3.%4.%5.%6.%7.%8.%9."/>
      <w:lvlJc w:val="left"/>
      <w:pPr>
        <w:tabs>
          <w:tab w:val="num" w:pos="5170"/>
        </w:tabs>
        <w:ind w:left="5170" w:hanging="1440"/>
      </w:pPr>
      <w:rPr>
        <w:rFonts w:ascii="Verdana" w:hAnsi="Verdana" w:cs="Times New Roman" w:hint="default"/>
      </w:rPr>
    </w:lvl>
  </w:abstractNum>
  <w:num w:numId="1">
    <w:abstractNumId w:val="10"/>
  </w:num>
  <w:num w:numId="2">
    <w:abstractNumId w:val="39"/>
  </w:num>
  <w:num w:numId="3">
    <w:abstractNumId w:val="13"/>
  </w:num>
  <w:num w:numId="4">
    <w:abstractNumId w:val="41"/>
  </w:num>
  <w:num w:numId="5">
    <w:abstractNumId w:val="25"/>
  </w:num>
  <w:num w:numId="6">
    <w:abstractNumId w:val="36"/>
  </w:num>
  <w:num w:numId="7">
    <w:abstractNumId w:val="15"/>
  </w:num>
  <w:num w:numId="8">
    <w:abstractNumId w:val="5"/>
  </w:num>
  <w:num w:numId="9">
    <w:abstractNumId w:val="24"/>
  </w:num>
  <w:num w:numId="10">
    <w:abstractNumId w:val="20"/>
  </w:num>
  <w:num w:numId="11">
    <w:abstractNumId w:val="48"/>
  </w:num>
  <w:num w:numId="12">
    <w:abstractNumId w:val="47"/>
  </w:num>
  <w:num w:numId="13">
    <w:abstractNumId w:val="33"/>
  </w:num>
  <w:num w:numId="14">
    <w:abstractNumId w:val="18"/>
  </w:num>
  <w:num w:numId="15">
    <w:abstractNumId w:val="45"/>
  </w:num>
  <w:num w:numId="16">
    <w:abstractNumId w:val="46"/>
  </w:num>
  <w:num w:numId="17">
    <w:abstractNumId w:val="4"/>
  </w:num>
  <w:num w:numId="18">
    <w:abstractNumId w:val="3"/>
  </w:num>
  <w:num w:numId="19">
    <w:abstractNumId w:val="2"/>
  </w:num>
  <w:num w:numId="20">
    <w:abstractNumId w:val="1"/>
  </w:num>
  <w:num w:numId="21">
    <w:abstractNumId w:val="0"/>
  </w:num>
  <w:num w:numId="22">
    <w:abstractNumId w:val="49"/>
  </w:num>
  <w:num w:numId="23">
    <w:abstractNumId w:val="12"/>
  </w:num>
  <w:num w:numId="24">
    <w:abstractNumId w:val="9"/>
  </w:num>
  <w:num w:numId="25">
    <w:abstractNumId w:val="27"/>
  </w:num>
  <w:num w:numId="26">
    <w:abstractNumId w:val="6"/>
  </w:num>
  <w:num w:numId="27">
    <w:abstractNumId w:val="14"/>
  </w:num>
  <w:num w:numId="28">
    <w:abstractNumId w:val="19"/>
  </w:num>
  <w:num w:numId="29">
    <w:abstractNumId w:val="17"/>
  </w:num>
  <w:num w:numId="30">
    <w:abstractNumId w:val="21"/>
  </w:num>
  <w:num w:numId="31">
    <w:abstractNumId w:val="40"/>
  </w:num>
  <w:num w:numId="32">
    <w:abstractNumId w:val="32"/>
  </w:num>
  <w:num w:numId="33">
    <w:abstractNumId w:val="38"/>
  </w:num>
  <w:num w:numId="34">
    <w:abstractNumId w:val="11"/>
  </w:num>
  <w:num w:numId="35">
    <w:abstractNumId w:val="31"/>
  </w:num>
  <w:num w:numId="36">
    <w:abstractNumId w:val="22"/>
  </w:num>
  <w:num w:numId="37">
    <w:abstractNumId w:val="29"/>
  </w:num>
  <w:num w:numId="38">
    <w:abstractNumId w:val="43"/>
  </w:num>
  <w:num w:numId="39">
    <w:abstractNumId w:val="37"/>
  </w:num>
  <w:num w:numId="40">
    <w:abstractNumId w:val="44"/>
  </w:num>
  <w:num w:numId="41">
    <w:abstractNumId w:val="34"/>
  </w:num>
  <w:num w:numId="42">
    <w:abstractNumId w:val="28"/>
  </w:num>
  <w:num w:numId="43">
    <w:abstractNumId w:val="42"/>
  </w:num>
  <w:num w:numId="44">
    <w:abstractNumId w:val="16"/>
  </w:num>
  <w:num w:numId="45">
    <w:abstractNumId w:val="7"/>
  </w:num>
  <w:num w:numId="46">
    <w:abstractNumId w:val="50"/>
  </w:num>
  <w:num w:numId="47">
    <w:abstractNumId w:val="23"/>
  </w:num>
  <w:num w:numId="48">
    <w:abstractNumId w:val="8"/>
  </w:num>
  <w:num w:numId="49">
    <w:abstractNumId w:val="30"/>
  </w:num>
  <w:num w:numId="50">
    <w:abstractNumId w:val="35"/>
  </w:num>
  <w:num w:numId="51">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Ñä’”"/>
  <w:doNotValidateAgainstSchema/>
  <w:doNotDemarcateInvalidXml/>
  <w:hdrShapeDefaults>
    <o:shapedefaults v:ext="edit" spidmax="2054">
      <o:colormenu v:ext="edit" fillcolor="none" strokecolor="none"/>
    </o:shapedefaults>
    <o:shapelayout v:ext="edit">
      <o:idmap v:ext="edit" data="2"/>
    </o:shapelayout>
  </w:hdrShapeDefaults>
  <w:footnotePr>
    <w:footnote w:id="-1"/>
    <w:footnote w:id="0"/>
  </w:footnotePr>
  <w:endnotePr>
    <w:numFmt w:val="decimal"/>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051E"/>
    <w:rsid w:val="00046354"/>
    <w:rsid w:val="000B6AEF"/>
    <w:rsid w:val="000C5125"/>
    <w:rsid w:val="001B7372"/>
    <w:rsid w:val="0024051E"/>
    <w:rsid w:val="002743E6"/>
    <w:rsid w:val="003A45D9"/>
    <w:rsid w:val="00423442"/>
    <w:rsid w:val="00485D7B"/>
    <w:rsid w:val="005F5B87"/>
    <w:rsid w:val="00635225"/>
    <w:rsid w:val="007063DF"/>
    <w:rsid w:val="00831329"/>
    <w:rsid w:val="00843969"/>
    <w:rsid w:val="008628FF"/>
    <w:rsid w:val="00876966"/>
    <w:rsid w:val="00902D12"/>
    <w:rsid w:val="009549EF"/>
    <w:rsid w:val="00982493"/>
    <w:rsid w:val="009E1664"/>
    <w:rsid w:val="00A44473"/>
    <w:rsid w:val="00AF44F2"/>
    <w:rsid w:val="00BB3A4C"/>
    <w:rsid w:val="00BC1B34"/>
    <w:rsid w:val="00C2737A"/>
    <w:rsid w:val="00C30441"/>
    <w:rsid w:val="00C3532D"/>
    <w:rsid w:val="00C37F07"/>
    <w:rsid w:val="00CF3E72"/>
    <w:rsid w:val="00D45122"/>
    <w:rsid w:val="00D75F90"/>
    <w:rsid w:val="00DE0A9E"/>
    <w:rsid w:val="00F43C28"/>
    <w:rsid w:val="00FB080C"/>
    <w:rsid w:val="00FE3F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colormenu v:ext="edit" fillcolor="none" strokecolor="none"/>
    </o:shapedefaults>
    <o:shapelayout v:ext="edit">
      <o:idmap v:ext="edit" data="1"/>
    </o:shapelayout>
  </w:shapeDefaults>
  <w:decimalSymbol w:val="."/>
  <w:listSeparator w:val=","/>
  <w14:defaultImageDpi w14:val="0"/>
  <w15:docId w15:val="{8EBFD647-A97B-4464-A289-4B8751E8E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24" w:unhideWhenUsed="1"/>
    <w:lsdException w:name="footer" w:semiHidden="1" w:uiPriority="24"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qFormat="1"/>
    <w:lsdException w:name="List Bullet 4" w:semiHidden="1" w:unhideWhenUsed="1"/>
    <w:lsdException w:name="List Bullet 5" w:semiHidden="1" w:unhideWhenUsed="1"/>
    <w:lsdException w:name="List Number 2" w:semiHidden="1" w:uiPriority="5" w:unhideWhenUsed="1" w:qFormat="1"/>
    <w:lsdException w:name="List Number 3" w:semiHidden="1" w:uiPriority="5" w:unhideWhenUsed="1" w:qFormat="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5D7B"/>
    <w:pPr>
      <w:spacing w:after="160" w:line="259" w:lineRule="auto"/>
    </w:pPr>
    <w:rPr>
      <w:sz w:val="22"/>
      <w:szCs w:val="22"/>
    </w:rPr>
  </w:style>
  <w:style w:type="paragraph" w:styleId="Heading1">
    <w:name w:val="heading 1"/>
    <w:basedOn w:val="BodyText"/>
    <w:next w:val="BodyText"/>
    <w:link w:val="Heading1Char"/>
    <w:uiPriority w:val="9"/>
    <w:qFormat/>
    <w:rsid w:val="007063DF"/>
    <w:pPr>
      <w:keepNext/>
      <w:spacing w:before="0" w:line="360" w:lineRule="atLeast"/>
      <w:contextualSpacing/>
      <w:outlineLvl w:val="0"/>
    </w:pPr>
    <w:rPr>
      <w:rFonts w:cs="Arial"/>
      <w:bCs/>
      <w:sz w:val="48"/>
      <w:szCs w:val="32"/>
      <w:lang w:eastAsia="en-AU"/>
    </w:rPr>
  </w:style>
  <w:style w:type="paragraph" w:styleId="Heading2">
    <w:name w:val="heading 2"/>
    <w:basedOn w:val="Heading1"/>
    <w:next w:val="BodyText"/>
    <w:link w:val="Heading2Char"/>
    <w:uiPriority w:val="9"/>
    <w:qFormat/>
    <w:rsid w:val="00CF3E72"/>
    <w:pPr>
      <w:spacing w:before="300"/>
      <w:outlineLvl w:val="1"/>
    </w:pPr>
    <w:rPr>
      <w:b/>
      <w:bCs w:val="0"/>
      <w:iCs/>
      <w:sz w:val="36"/>
      <w:szCs w:val="28"/>
    </w:rPr>
  </w:style>
  <w:style w:type="paragraph" w:styleId="Heading3">
    <w:name w:val="heading 3"/>
    <w:basedOn w:val="Heading1"/>
    <w:next w:val="BodyText"/>
    <w:link w:val="Heading3Char"/>
    <w:uiPriority w:val="9"/>
    <w:qFormat/>
    <w:rsid w:val="00CF3E72"/>
    <w:pPr>
      <w:spacing w:before="240" w:line="280" w:lineRule="atLeast"/>
      <w:outlineLvl w:val="2"/>
    </w:pPr>
    <w:rPr>
      <w:bCs w:val="0"/>
      <w:sz w:val="28"/>
      <w:szCs w:val="26"/>
    </w:rPr>
  </w:style>
  <w:style w:type="paragraph" w:styleId="Heading4">
    <w:name w:val="heading 4"/>
    <w:basedOn w:val="Heading1"/>
    <w:next w:val="BodyText"/>
    <w:link w:val="Heading4Char"/>
    <w:uiPriority w:val="9"/>
    <w:qFormat/>
    <w:rsid w:val="00CF3E72"/>
    <w:pPr>
      <w:spacing w:before="180" w:line="240" w:lineRule="atLeast"/>
      <w:outlineLvl w:val="3"/>
    </w:pPr>
    <w:rPr>
      <w:b/>
      <w:bCs w:val="0"/>
      <w:sz w:val="24"/>
      <w:szCs w:val="21"/>
    </w:rPr>
  </w:style>
  <w:style w:type="paragraph" w:styleId="Heading5">
    <w:name w:val="heading 5"/>
    <w:basedOn w:val="Normal"/>
    <w:next w:val="Normal"/>
    <w:link w:val="Heading5Char"/>
    <w:uiPriority w:val="9"/>
    <w:qFormat/>
    <w:rsid w:val="00CF3E72"/>
    <w:pPr>
      <w:numPr>
        <w:ilvl w:val="4"/>
        <w:numId w:val="2"/>
      </w:numPr>
      <w:tabs>
        <w:tab w:val="left" w:pos="1021"/>
      </w:tabs>
      <w:spacing w:before="240" w:after="120" w:line="240" w:lineRule="auto"/>
      <w:outlineLvl w:val="4"/>
    </w:pPr>
    <w:rPr>
      <w:rFonts w:ascii="Arial" w:hAnsi="Arial"/>
      <w:bCs/>
      <w:i/>
      <w:iCs/>
      <w:sz w:val="24"/>
      <w:szCs w:val="20"/>
      <w:lang w:val="en-GB"/>
    </w:rPr>
  </w:style>
  <w:style w:type="paragraph" w:styleId="Heading6">
    <w:name w:val="heading 6"/>
    <w:basedOn w:val="Normal"/>
    <w:next w:val="Normal"/>
    <w:link w:val="Heading6Char"/>
    <w:uiPriority w:val="9"/>
    <w:rsid w:val="00485D7B"/>
    <w:pPr>
      <w:tabs>
        <w:tab w:val="num" w:pos="1152"/>
      </w:tabs>
      <w:spacing w:before="240" w:after="60" w:line="240" w:lineRule="auto"/>
      <w:ind w:left="1152" w:hanging="1152"/>
      <w:outlineLvl w:val="5"/>
    </w:pPr>
    <w:rPr>
      <w:rFonts w:ascii="Arial" w:hAnsi="Arial"/>
      <w:b/>
      <w:bCs/>
    </w:rPr>
  </w:style>
  <w:style w:type="paragraph" w:styleId="Heading7">
    <w:name w:val="heading 7"/>
    <w:basedOn w:val="Normal"/>
    <w:next w:val="Normal"/>
    <w:link w:val="Heading7Char"/>
    <w:uiPriority w:val="9"/>
    <w:rsid w:val="00485D7B"/>
    <w:pPr>
      <w:tabs>
        <w:tab w:val="num" w:pos="1296"/>
      </w:tabs>
      <w:spacing w:before="240" w:after="60" w:line="240" w:lineRule="auto"/>
      <w:ind w:left="1296" w:hanging="1296"/>
      <w:outlineLvl w:val="6"/>
    </w:pPr>
    <w:rPr>
      <w:rFonts w:ascii="Arial" w:hAnsi="Arial"/>
      <w:sz w:val="24"/>
      <w:szCs w:val="24"/>
    </w:rPr>
  </w:style>
  <w:style w:type="paragraph" w:styleId="Heading8">
    <w:name w:val="heading 8"/>
    <w:basedOn w:val="Normal"/>
    <w:next w:val="Normal"/>
    <w:link w:val="Heading8Char"/>
    <w:uiPriority w:val="9"/>
    <w:rsid w:val="00485D7B"/>
    <w:pPr>
      <w:tabs>
        <w:tab w:val="num" w:pos="1440"/>
      </w:tabs>
      <w:spacing w:before="240" w:after="60" w:line="240" w:lineRule="auto"/>
      <w:ind w:left="1440" w:hanging="1440"/>
      <w:outlineLvl w:val="7"/>
    </w:pPr>
    <w:rPr>
      <w:rFonts w:ascii="Arial" w:hAnsi="Arial"/>
      <w:i/>
      <w:iCs/>
      <w:sz w:val="24"/>
      <w:szCs w:val="24"/>
    </w:rPr>
  </w:style>
  <w:style w:type="paragraph" w:styleId="Heading9">
    <w:name w:val="heading 9"/>
    <w:basedOn w:val="Normal"/>
    <w:next w:val="Normal"/>
    <w:link w:val="Heading9Char"/>
    <w:uiPriority w:val="9"/>
    <w:rsid w:val="00485D7B"/>
    <w:pPr>
      <w:tabs>
        <w:tab w:val="num" w:pos="1584"/>
      </w:tabs>
      <w:spacing w:before="240" w:after="60" w:line="240" w:lineRule="auto"/>
      <w:ind w:left="1584" w:hanging="158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7063DF"/>
    <w:rPr>
      <w:rFonts w:ascii="Arial" w:hAnsi="Arial" w:cs="Arial"/>
      <w:bCs/>
      <w:sz w:val="32"/>
      <w:szCs w:val="32"/>
    </w:rPr>
  </w:style>
  <w:style w:type="character" w:customStyle="1" w:styleId="Heading2Char">
    <w:name w:val="Heading 2 Char"/>
    <w:link w:val="Heading2"/>
    <w:uiPriority w:val="9"/>
    <w:locked/>
    <w:rsid w:val="00CF3E72"/>
    <w:rPr>
      <w:rFonts w:ascii="Arial" w:hAnsi="Arial" w:cs="Arial"/>
      <w:b/>
      <w:iCs/>
      <w:sz w:val="28"/>
      <w:szCs w:val="28"/>
    </w:rPr>
  </w:style>
  <w:style w:type="character" w:customStyle="1" w:styleId="Heading3Char">
    <w:name w:val="Heading 3 Char"/>
    <w:link w:val="Heading3"/>
    <w:uiPriority w:val="9"/>
    <w:locked/>
    <w:rsid w:val="00CF3E72"/>
    <w:rPr>
      <w:rFonts w:ascii="Arial" w:hAnsi="Arial" w:cs="Arial"/>
      <w:sz w:val="26"/>
      <w:szCs w:val="26"/>
    </w:rPr>
  </w:style>
  <w:style w:type="character" w:customStyle="1" w:styleId="Heading4Char">
    <w:name w:val="Heading 4 Char"/>
    <w:link w:val="Heading4"/>
    <w:uiPriority w:val="9"/>
    <w:locked/>
    <w:rsid w:val="00CF3E72"/>
    <w:rPr>
      <w:rFonts w:ascii="Arial" w:hAnsi="Arial" w:cs="Arial"/>
      <w:b/>
      <w:sz w:val="21"/>
      <w:szCs w:val="21"/>
    </w:rPr>
  </w:style>
  <w:style w:type="character" w:customStyle="1" w:styleId="Heading5Char">
    <w:name w:val="Heading 5 Char"/>
    <w:link w:val="Heading5"/>
    <w:uiPriority w:val="9"/>
    <w:locked/>
    <w:rsid w:val="00CF3E72"/>
    <w:rPr>
      <w:rFonts w:ascii="Arial" w:hAnsi="Arial"/>
      <w:bCs/>
      <w:i/>
      <w:iCs/>
      <w:sz w:val="24"/>
      <w:szCs w:val="20"/>
      <w:lang w:val="en-GB"/>
    </w:rPr>
  </w:style>
  <w:style w:type="character" w:customStyle="1" w:styleId="Heading6Char">
    <w:name w:val="Heading 6 Char"/>
    <w:link w:val="Heading6"/>
    <w:uiPriority w:val="9"/>
    <w:locked/>
    <w:rsid w:val="00485D7B"/>
    <w:rPr>
      <w:rFonts w:ascii="Arial" w:hAnsi="Arial" w:cs="Times New Roman"/>
      <w:b/>
      <w:bCs/>
    </w:rPr>
  </w:style>
  <w:style w:type="character" w:customStyle="1" w:styleId="Heading7Char">
    <w:name w:val="Heading 7 Char"/>
    <w:link w:val="Heading7"/>
    <w:uiPriority w:val="9"/>
    <w:locked/>
    <w:rsid w:val="00485D7B"/>
    <w:rPr>
      <w:rFonts w:ascii="Arial" w:hAnsi="Arial" w:cs="Times New Roman"/>
      <w:sz w:val="24"/>
      <w:szCs w:val="24"/>
    </w:rPr>
  </w:style>
  <w:style w:type="character" w:customStyle="1" w:styleId="Heading8Char">
    <w:name w:val="Heading 8 Char"/>
    <w:link w:val="Heading8"/>
    <w:uiPriority w:val="9"/>
    <w:locked/>
    <w:rsid w:val="00485D7B"/>
    <w:rPr>
      <w:rFonts w:ascii="Arial" w:hAnsi="Arial" w:cs="Times New Roman"/>
      <w:i/>
      <w:iCs/>
      <w:sz w:val="24"/>
      <w:szCs w:val="24"/>
    </w:rPr>
  </w:style>
  <w:style w:type="character" w:customStyle="1" w:styleId="Heading9Char">
    <w:name w:val="Heading 9 Char"/>
    <w:link w:val="Heading9"/>
    <w:uiPriority w:val="9"/>
    <w:locked/>
    <w:rsid w:val="00485D7B"/>
    <w:rPr>
      <w:rFonts w:ascii="Arial" w:hAnsi="Arial" w:cs="Arial"/>
    </w:rPr>
  </w:style>
  <w:style w:type="paragraph" w:customStyle="1" w:styleId="NoParagraphStyle">
    <w:name w:val="[No Paragraph Style]"/>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en-US"/>
    </w:rPr>
  </w:style>
  <w:style w:type="paragraph" w:customStyle="1" w:styleId="HRVHeading1">
    <w:name w:val="HRV Heading 1"/>
    <w:basedOn w:val="NoParagraphStyle"/>
    <w:uiPriority w:val="99"/>
    <w:pPr>
      <w:suppressAutoHyphens/>
      <w:spacing w:after="454" w:line="760" w:lineRule="atLeast"/>
    </w:pPr>
    <w:rPr>
      <w:rFonts w:ascii="Graphik-Bold" w:hAnsi="Graphik-Bold" w:cs="Graphik-Bold"/>
      <w:b/>
      <w:bCs/>
      <w:sz w:val="68"/>
      <w:szCs w:val="68"/>
      <w:lang w:val="en-GB"/>
    </w:rPr>
  </w:style>
  <w:style w:type="paragraph" w:customStyle="1" w:styleId="HRVBodyText">
    <w:name w:val="HRV Body Text"/>
    <w:basedOn w:val="NoParagraphStyle"/>
    <w:uiPriority w:val="99"/>
    <w:pPr>
      <w:suppressAutoHyphens/>
      <w:spacing w:after="170" w:line="280" w:lineRule="atLeast"/>
    </w:pPr>
    <w:rPr>
      <w:rFonts w:ascii="Graphik-Regular" w:hAnsi="Graphik-Regular" w:cs="Graphik-Regular"/>
      <w:sz w:val="22"/>
      <w:szCs w:val="22"/>
      <w:lang w:val="en-GB"/>
    </w:rPr>
  </w:style>
  <w:style w:type="paragraph" w:customStyle="1" w:styleId="ContentsCategoryGreen">
    <w:name w:val="Contents Category Green"/>
    <w:basedOn w:val="HRVBodyText"/>
    <w:uiPriority w:val="99"/>
    <w:pPr>
      <w:spacing w:after="113" w:line="220" w:lineRule="atLeast"/>
      <w:jc w:val="right"/>
    </w:pPr>
  </w:style>
  <w:style w:type="paragraph" w:customStyle="1" w:styleId="HRCContentsTitles">
    <w:name w:val="HRC Contents Titles"/>
    <w:basedOn w:val="HRVHeading1"/>
    <w:uiPriority w:val="99"/>
    <w:pPr>
      <w:spacing w:before="283" w:after="283" w:line="320" w:lineRule="atLeast"/>
    </w:pPr>
    <w:rPr>
      <w:sz w:val="32"/>
      <w:szCs w:val="32"/>
    </w:rPr>
  </w:style>
  <w:style w:type="paragraph" w:customStyle="1" w:styleId="ContentsCategoryRed">
    <w:name w:val="Contents Category Red"/>
    <w:basedOn w:val="ContentsCategoryGreen"/>
    <w:uiPriority w:val="99"/>
  </w:style>
  <w:style w:type="paragraph" w:customStyle="1" w:styleId="ContentsCategoryNavy">
    <w:name w:val="Contents Category Navy"/>
    <w:basedOn w:val="ContentsCategoryRed"/>
    <w:uiPriority w:val="99"/>
  </w:style>
  <w:style w:type="paragraph" w:customStyle="1" w:styleId="ContentsCategoryYellow">
    <w:name w:val="Contents Category Yellow"/>
    <w:basedOn w:val="ContentsCategoryNavy"/>
    <w:uiPriority w:val="99"/>
  </w:style>
  <w:style w:type="paragraph" w:customStyle="1" w:styleId="HRVHeading5">
    <w:name w:val="HRV Heading 5"/>
    <w:basedOn w:val="NoParagraphStyle"/>
    <w:uiPriority w:val="99"/>
    <w:pPr>
      <w:suppressAutoHyphens/>
      <w:spacing w:before="28" w:after="170" w:line="300" w:lineRule="atLeast"/>
    </w:pPr>
    <w:rPr>
      <w:rFonts w:ascii="Graphik-Semibold" w:hAnsi="Graphik-Semibold" w:cs="Graphik-Semibold"/>
      <w:sz w:val="22"/>
      <w:szCs w:val="22"/>
      <w:lang w:val="en-GB"/>
    </w:rPr>
  </w:style>
  <w:style w:type="paragraph" w:customStyle="1" w:styleId="HRVSubject">
    <w:name w:val="HRV Subject"/>
    <w:basedOn w:val="NoParagraphStyle"/>
    <w:uiPriority w:val="99"/>
    <w:pPr>
      <w:pageBreakBefore/>
      <w:suppressAutoHyphens/>
      <w:spacing w:after="57" w:line="241" w:lineRule="atLeast"/>
    </w:pPr>
    <w:rPr>
      <w:rFonts w:ascii="Graphik-Medium" w:hAnsi="Graphik-Medium" w:cs="Graphik-Medium"/>
      <w:caps/>
      <w:spacing w:val="5"/>
      <w:lang w:val="en-GB"/>
    </w:rPr>
  </w:style>
  <w:style w:type="paragraph" w:customStyle="1" w:styleId="HRVHeading3">
    <w:name w:val="HRV Heading 3"/>
    <w:basedOn w:val="NoParagraphStyle"/>
    <w:uiPriority w:val="99"/>
    <w:pPr>
      <w:suppressAutoHyphens/>
      <w:spacing w:before="227" w:after="170" w:line="440" w:lineRule="atLeast"/>
    </w:pPr>
    <w:rPr>
      <w:rFonts w:ascii="Graphik-Bold" w:hAnsi="Graphik-Bold" w:cs="Graphik-Bold"/>
      <w:b/>
      <w:bCs/>
      <w:sz w:val="38"/>
      <w:szCs w:val="38"/>
      <w:lang w:val="en-GB"/>
    </w:rPr>
  </w:style>
  <w:style w:type="paragraph" w:customStyle="1" w:styleId="HRVListBulletBlack">
    <w:name w:val="HRV List Bullet (Black)"/>
    <w:basedOn w:val="NoParagraphStyle"/>
    <w:uiPriority w:val="99"/>
    <w:pPr>
      <w:suppressAutoHyphens/>
      <w:spacing w:before="57" w:after="28" w:line="280" w:lineRule="atLeast"/>
      <w:ind w:left="170" w:right="1020" w:hanging="170"/>
    </w:pPr>
    <w:rPr>
      <w:rFonts w:ascii="Graphik-Regular" w:hAnsi="Graphik-Regular" w:cs="Graphik-Regular"/>
      <w:sz w:val="22"/>
      <w:szCs w:val="22"/>
      <w:lang w:val="en-GB"/>
    </w:rPr>
  </w:style>
  <w:style w:type="paragraph" w:customStyle="1" w:styleId="HRVHeading2">
    <w:name w:val="HRV Heading 2"/>
    <w:basedOn w:val="NoParagraphStyle"/>
    <w:uiPriority w:val="99"/>
    <w:pPr>
      <w:suppressAutoHyphens/>
      <w:spacing w:before="227" w:after="198" w:line="470" w:lineRule="atLeast"/>
    </w:pPr>
    <w:rPr>
      <w:rFonts w:ascii="Graphik-Medium" w:hAnsi="Graphik-Medium" w:cs="Graphik-Medium"/>
      <w:sz w:val="48"/>
      <w:szCs w:val="48"/>
      <w:lang w:val="en-GB"/>
    </w:rPr>
  </w:style>
  <w:style w:type="paragraph" w:customStyle="1" w:styleId="HRVHeading4">
    <w:name w:val="HRV Heading 4"/>
    <w:basedOn w:val="NoParagraphStyle"/>
    <w:uiPriority w:val="99"/>
    <w:pPr>
      <w:suppressAutoHyphens/>
      <w:spacing w:before="198" w:after="113" w:line="330" w:lineRule="atLeast"/>
    </w:pPr>
    <w:rPr>
      <w:rFonts w:ascii="Graphik-Medium" w:hAnsi="Graphik-Medium" w:cs="Graphik-Medium"/>
      <w:sz w:val="26"/>
      <w:szCs w:val="26"/>
      <w:lang w:val="en-GB"/>
    </w:rPr>
  </w:style>
  <w:style w:type="paragraph" w:customStyle="1" w:styleId="HRVListBullet2ColumnsBlack">
    <w:name w:val="HRV List Bullet 2 Columns (Black)"/>
    <w:basedOn w:val="HRVListBulletBlack"/>
    <w:uiPriority w:val="99"/>
  </w:style>
  <w:style w:type="paragraph" w:customStyle="1" w:styleId="HRVListBulletlast">
    <w:name w:val="HRV List Bullet (last)"/>
    <w:basedOn w:val="NoParagraphStyle"/>
    <w:uiPriority w:val="99"/>
    <w:pPr>
      <w:suppressAutoHyphens/>
      <w:spacing w:before="57" w:after="198" w:line="280" w:lineRule="atLeast"/>
      <w:ind w:left="170" w:right="1020" w:hanging="170"/>
    </w:pPr>
    <w:rPr>
      <w:rFonts w:ascii="Graphik-Regular" w:hAnsi="Graphik-Regular" w:cs="Graphik-Regular"/>
      <w:sz w:val="22"/>
      <w:szCs w:val="22"/>
    </w:rPr>
  </w:style>
  <w:style w:type="paragraph" w:customStyle="1" w:styleId="HRVBodyTextItalics">
    <w:name w:val="HRV Body Text Italics"/>
    <w:basedOn w:val="HRVBodyText"/>
    <w:uiPriority w:val="99"/>
    <w:rPr>
      <w:rFonts w:ascii="Graphik-RegularItalic" w:hAnsi="Graphik-RegularItalic" w:cs="Graphik-RegularItalic"/>
      <w:i/>
      <w:iCs/>
    </w:rPr>
  </w:style>
  <w:style w:type="paragraph" w:customStyle="1" w:styleId="HRVBreakoutBoxBlackHeader">
    <w:name w:val="HRV Breakout Box (Black) Header"/>
    <w:basedOn w:val="NoParagraphStyle"/>
    <w:uiPriority w:val="99"/>
    <w:pPr>
      <w:shd w:val="clear" w:color="auto" w:fill="000000"/>
      <w:suppressAutoHyphens/>
      <w:spacing w:before="283" w:after="283" w:line="280" w:lineRule="atLeast"/>
      <w:ind w:left="340" w:right="340"/>
    </w:pPr>
    <w:rPr>
      <w:rFonts w:ascii="Graphik-Bold" w:hAnsi="Graphik-Bold" w:cs="Graphik-Bold"/>
      <w:b/>
      <w:bCs/>
      <w:color w:val="FFFFFF"/>
      <w:sz w:val="22"/>
      <w:szCs w:val="22"/>
      <w:lang w:val="en-GB"/>
    </w:rPr>
  </w:style>
  <w:style w:type="paragraph" w:customStyle="1" w:styleId="HRVBreakoutBoxHeader2Navy">
    <w:name w:val="HRV Breakout Box Header 2 (Navy)"/>
    <w:basedOn w:val="HRVBreakoutBoxBlackHeader"/>
    <w:uiPriority w:val="99"/>
    <w:pPr>
      <w:shd w:val="clear" w:color="auto" w:fill="000049"/>
      <w:spacing w:before="170" w:after="57"/>
    </w:pPr>
  </w:style>
  <w:style w:type="paragraph" w:customStyle="1" w:styleId="HRVBreakoutBoxHeader2Green">
    <w:name w:val="HRV Breakout Box Header 2 (Green)"/>
    <w:basedOn w:val="HRVBreakoutBoxHeader2Navy"/>
    <w:uiPriority w:val="99"/>
    <w:pPr>
      <w:shd w:val="clear" w:color="auto" w:fill="77FFA0"/>
    </w:pPr>
    <w:rPr>
      <w:color w:val="000000"/>
    </w:rPr>
  </w:style>
  <w:style w:type="paragraph" w:customStyle="1" w:styleId="HRVBreakoutBoxHeader2Yellow">
    <w:name w:val="HRV Breakout Box Header 2 (Yellow)"/>
    <w:basedOn w:val="HRVBreakoutBoxHeader2Green"/>
    <w:uiPriority w:val="99"/>
    <w:pPr>
      <w:shd w:val="clear" w:color="auto" w:fill="F2BA2D"/>
    </w:pPr>
  </w:style>
  <w:style w:type="paragraph" w:customStyle="1" w:styleId="HRVBreakoutBoxHeader1Yellow">
    <w:name w:val="HRV Breakout Box Header 1 (Yellow)"/>
    <w:basedOn w:val="HRVBreakoutBoxHeader2Yellow"/>
    <w:uiPriority w:val="99"/>
    <w:pPr>
      <w:spacing w:before="397" w:after="227" w:line="440" w:lineRule="atLeast"/>
    </w:pPr>
    <w:rPr>
      <w:sz w:val="38"/>
      <w:szCs w:val="38"/>
    </w:rPr>
  </w:style>
  <w:style w:type="paragraph" w:customStyle="1" w:styleId="HRVBreakoutBoxWhite">
    <w:name w:val="HRV Breakout Box (White)"/>
    <w:basedOn w:val="NoParagraphStyle"/>
    <w:uiPriority w:val="99"/>
    <w:pPr>
      <w:shd w:val="clear" w:color="auto" w:fill="000000"/>
      <w:suppressAutoHyphens/>
      <w:spacing w:after="170" w:line="280" w:lineRule="atLeast"/>
      <w:ind w:left="340" w:right="340"/>
    </w:pPr>
    <w:rPr>
      <w:rFonts w:ascii="Graphik-Regular" w:hAnsi="Graphik-Regular" w:cs="Graphik-Regular"/>
      <w:color w:val="FFFFFF"/>
      <w:sz w:val="22"/>
      <w:szCs w:val="22"/>
      <w:lang w:val="en-GB"/>
    </w:rPr>
  </w:style>
  <w:style w:type="paragraph" w:customStyle="1" w:styleId="HRVBreakoutBoxNavy">
    <w:name w:val="HRV Breakout Box (Navy)"/>
    <w:basedOn w:val="HRVBreakoutBoxWhite"/>
    <w:uiPriority w:val="99"/>
    <w:pPr>
      <w:shd w:val="clear" w:color="auto" w:fill="000049"/>
    </w:pPr>
  </w:style>
  <w:style w:type="paragraph" w:customStyle="1" w:styleId="HRVBreakoutBoxYellow">
    <w:name w:val="HRV Breakout Box (Yellow)"/>
    <w:basedOn w:val="HRVBreakoutBoxNavy"/>
    <w:uiPriority w:val="99"/>
    <w:pPr>
      <w:shd w:val="clear" w:color="auto" w:fill="F2BA2D"/>
    </w:pPr>
    <w:rPr>
      <w:color w:val="000000"/>
    </w:rPr>
  </w:style>
  <w:style w:type="paragraph" w:customStyle="1" w:styleId="HRVBreakoutBoxHeader1Navy">
    <w:name w:val="HRV Breakout Box Header 1 (Navy)"/>
    <w:basedOn w:val="HRVBreakoutBoxHeader2Navy"/>
    <w:uiPriority w:val="99"/>
    <w:pPr>
      <w:spacing w:before="397" w:after="227" w:line="440" w:lineRule="atLeast"/>
    </w:pPr>
    <w:rPr>
      <w:sz w:val="38"/>
      <w:szCs w:val="38"/>
    </w:rPr>
  </w:style>
  <w:style w:type="paragraph" w:customStyle="1" w:styleId="HRVBreakoutBoxHeader1Red">
    <w:name w:val="HRV Breakout Box Header 1 (Red)"/>
    <w:basedOn w:val="HRVBreakoutBoxHeader1Navy"/>
    <w:uiPriority w:val="99"/>
    <w:pPr>
      <w:shd w:val="clear" w:color="auto" w:fill="A50000"/>
    </w:pPr>
  </w:style>
  <w:style w:type="paragraph" w:customStyle="1" w:styleId="HRVBreakoutBoxGreen">
    <w:name w:val="HRV Breakout Box (Green)"/>
    <w:basedOn w:val="HRVBreakoutBoxNavy"/>
    <w:uiPriority w:val="99"/>
    <w:pPr>
      <w:shd w:val="clear" w:color="auto" w:fill="77FFA0"/>
    </w:pPr>
    <w:rPr>
      <w:color w:val="000000"/>
    </w:rPr>
  </w:style>
  <w:style w:type="paragraph" w:customStyle="1" w:styleId="HRVBreakoutBoxLastNavy">
    <w:name w:val="HRV Breakout Box Last (Navy)"/>
    <w:basedOn w:val="HRVBreakoutBoxGreen"/>
    <w:uiPriority w:val="99"/>
    <w:pPr>
      <w:shd w:val="clear" w:color="auto" w:fill="000049"/>
      <w:spacing w:after="340"/>
    </w:pPr>
    <w:rPr>
      <w:color w:val="FFFFFF"/>
    </w:rPr>
  </w:style>
  <w:style w:type="paragraph" w:customStyle="1" w:styleId="HRVBreakoutBoxRed">
    <w:name w:val="HRV Breakout Box (Red)"/>
    <w:basedOn w:val="HRVBreakoutBoxLastNavy"/>
    <w:uiPriority w:val="99"/>
    <w:pPr>
      <w:shd w:val="clear" w:color="auto" w:fill="A50000"/>
    </w:pPr>
  </w:style>
  <w:style w:type="paragraph" w:customStyle="1" w:styleId="HRVBreakoutBoxHeader1Green">
    <w:name w:val="HRV Breakout Box Header 1 (Green)"/>
    <w:basedOn w:val="HRVBreakoutBoxHeader2Green"/>
    <w:uiPriority w:val="99"/>
    <w:pPr>
      <w:spacing w:before="397" w:after="227" w:line="440" w:lineRule="atLeast"/>
    </w:pPr>
    <w:rPr>
      <w:sz w:val="38"/>
      <w:szCs w:val="38"/>
    </w:rPr>
  </w:style>
  <w:style w:type="paragraph" w:customStyle="1" w:styleId="HRVBreakoutBoxBullets1Black">
    <w:name w:val="HRV Breakout Box Bullets 1 (Black)"/>
    <w:basedOn w:val="NoParagraphStyle"/>
    <w:uiPriority w:val="99"/>
    <w:pPr>
      <w:shd w:val="clear" w:color="auto" w:fill="000000"/>
      <w:suppressAutoHyphens/>
      <w:spacing w:after="85" w:line="280" w:lineRule="atLeast"/>
      <w:ind w:left="510" w:right="340" w:hanging="170"/>
    </w:pPr>
    <w:rPr>
      <w:rFonts w:ascii="Graphik-Medium" w:hAnsi="Graphik-Medium" w:cs="Graphik-Medium"/>
      <w:color w:val="FFFFFF"/>
      <w:sz w:val="22"/>
      <w:szCs w:val="22"/>
      <w:lang w:val="en-GB"/>
    </w:rPr>
  </w:style>
  <w:style w:type="paragraph" w:customStyle="1" w:styleId="HRVBreakoutBoxBulletsNavy">
    <w:name w:val="HRV Breakout Box Bullets (Navy)"/>
    <w:basedOn w:val="HRVBreakoutBoxBullets1Black"/>
    <w:uiPriority w:val="99"/>
    <w:pPr>
      <w:shd w:val="clear" w:color="auto" w:fill="000049"/>
    </w:pPr>
    <w:rPr>
      <w:rFonts w:ascii="Graphik-Regular" w:hAnsi="Graphik-Regular" w:cs="Graphik-Regular"/>
    </w:rPr>
  </w:style>
  <w:style w:type="paragraph" w:customStyle="1" w:styleId="HRVBreakoutBoxBulletsGreen">
    <w:name w:val="HRV Breakout Box Bullets (Green)"/>
    <w:basedOn w:val="HRVBreakoutBoxBulletsNavy"/>
    <w:uiPriority w:val="99"/>
    <w:pPr>
      <w:shd w:val="clear" w:color="auto" w:fill="77FFA0"/>
    </w:pPr>
    <w:rPr>
      <w:color w:val="000000"/>
    </w:rPr>
  </w:style>
  <w:style w:type="paragraph" w:customStyle="1" w:styleId="HRVBreakoutBoxBulletsLastGreen">
    <w:name w:val="HRV Breakout Box Bullets Last (Green)"/>
    <w:basedOn w:val="HRVBreakoutBoxBulletsNavy"/>
    <w:uiPriority w:val="99"/>
    <w:pPr>
      <w:shd w:val="clear" w:color="auto" w:fill="77FFA0"/>
      <w:spacing w:after="454"/>
    </w:pPr>
    <w:rPr>
      <w:color w:val="000000"/>
    </w:rPr>
  </w:style>
  <w:style w:type="paragraph" w:customStyle="1" w:styleId="HRVBreakoutBoxLastYellow">
    <w:name w:val="HRV Breakout Box Last (Yellow)"/>
    <w:basedOn w:val="HRVBreakoutBoxNavy"/>
    <w:uiPriority w:val="99"/>
    <w:pPr>
      <w:shd w:val="clear" w:color="auto" w:fill="F2BA2D"/>
      <w:spacing w:after="340"/>
    </w:pPr>
    <w:rPr>
      <w:color w:val="000000"/>
    </w:rPr>
  </w:style>
  <w:style w:type="paragraph" w:customStyle="1" w:styleId="HRVBreakoutBoxBulletsLastNavy">
    <w:name w:val="HRV Breakout Box Bullets Last (Navy)"/>
    <w:basedOn w:val="HRVBreakoutBoxBullets1Black"/>
    <w:uiPriority w:val="99"/>
    <w:pPr>
      <w:shd w:val="clear" w:color="auto" w:fill="000049"/>
      <w:spacing w:after="454"/>
    </w:pPr>
    <w:rPr>
      <w:rFonts w:ascii="Graphik-Regular" w:hAnsi="Graphik-Regular" w:cs="Graphik-Regular"/>
    </w:rPr>
  </w:style>
  <w:style w:type="paragraph" w:customStyle="1" w:styleId="HRVListBulletinTableBlack">
    <w:name w:val="HRV List Bullet in Table (Black)"/>
    <w:basedOn w:val="HRVListBulletBlack"/>
    <w:uiPriority w:val="99"/>
    <w:pPr>
      <w:ind w:right="0"/>
    </w:pPr>
  </w:style>
  <w:style w:type="paragraph" w:customStyle="1" w:styleId="HRVBreakoutBoxBulletsYellow">
    <w:name w:val="HRV Breakout Box Bullets (Yellow)"/>
    <w:basedOn w:val="HRVBreakoutBoxBullets1Black"/>
    <w:uiPriority w:val="99"/>
    <w:pPr>
      <w:shd w:val="clear" w:color="auto" w:fill="F2BA2D"/>
    </w:pPr>
    <w:rPr>
      <w:rFonts w:ascii="Graphik-Regular" w:hAnsi="Graphik-Regular" w:cs="Graphik-Regular"/>
      <w:color w:val="000000"/>
    </w:rPr>
  </w:style>
  <w:style w:type="paragraph" w:customStyle="1" w:styleId="HRVBreakoutBoxBulletsLastYellow">
    <w:name w:val="HRV Breakout Box Bullets Last (Yellow)"/>
    <w:basedOn w:val="HRVBreakoutBoxBulletsYellow"/>
    <w:uiPriority w:val="99"/>
    <w:pPr>
      <w:spacing w:after="454"/>
    </w:pPr>
  </w:style>
  <w:style w:type="paragraph" w:customStyle="1" w:styleId="HRVBreakoutBoxLastGreen">
    <w:name w:val="HRV Breakout Box Last (Green)"/>
    <w:basedOn w:val="HRVBreakoutBoxGreen"/>
    <w:uiPriority w:val="99"/>
    <w:pPr>
      <w:spacing w:after="340"/>
    </w:pPr>
    <w:rPr>
      <w:color w:val="FFFFFF"/>
    </w:rPr>
  </w:style>
  <w:style w:type="paragraph" w:customStyle="1" w:styleId="HRVFigureTitles">
    <w:name w:val="HRV Figure Titles"/>
    <w:basedOn w:val="NoParagraphStyle"/>
    <w:uiPriority w:val="99"/>
    <w:pPr>
      <w:suppressAutoHyphens/>
      <w:spacing w:before="283" w:after="170" w:line="280" w:lineRule="atLeast"/>
    </w:pPr>
    <w:rPr>
      <w:rFonts w:ascii="Graphik-Medium" w:hAnsi="Graphik-Medium" w:cs="Graphik-Medium"/>
      <w:sz w:val="22"/>
      <w:szCs w:val="22"/>
      <w:lang w:val="en-GB"/>
    </w:rPr>
  </w:style>
  <w:style w:type="paragraph" w:customStyle="1" w:styleId="HRVCaption">
    <w:name w:val="HRV Caption"/>
    <w:basedOn w:val="NoParagraphStyle"/>
    <w:uiPriority w:val="99"/>
    <w:pPr>
      <w:suppressAutoHyphens/>
      <w:spacing w:after="85" w:line="220" w:lineRule="atLeast"/>
      <w:ind w:left="283"/>
    </w:pPr>
    <w:rPr>
      <w:rFonts w:ascii="Graphik-Regular" w:hAnsi="Graphik-Regular" w:cs="Graphik-Regular"/>
      <w:sz w:val="18"/>
      <w:szCs w:val="18"/>
    </w:rPr>
  </w:style>
  <w:style w:type="paragraph" w:customStyle="1" w:styleId="HRVFootnotesEndnotes">
    <w:name w:val="HRV Footnotes Endnotes"/>
    <w:basedOn w:val="NoParagraphStyle"/>
    <w:uiPriority w:val="99"/>
    <w:pPr>
      <w:suppressAutoHyphens/>
      <w:spacing w:after="85" w:line="200" w:lineRule="atLeast"/>
      <w:ind w:left="170" w:hanging="170"/>
    </w:pPr>
    <w:rPr>
      <w:rFonts w:ascii="Graphik-Regular" w:hAnsi="Graphik-Regular" w:cs="Graphik-Regular"/>
      <w:sz w:val="18"/>
      <w:szCs w:val="18"/>
    </w:rPr>
  </w:style>
  <w:style w:type="paragraph" w:customStyle="1" w:styleId="HRVNumeralsBlack">
    <w:name w:val="HRV Numerals (Black)"/>
    <w:basedOn w:val="NoParagraphStyle"/>
    <w:uiPriority w:val="99"/>
    <w:pPr>
      <w:suppressAutoHyphens/>
      <w:spacing w:after="142" w:line="280" w:lineRule="atLeast"/>
      <w:ind w:left="340" w:right="1020" w:hanging="340"/>
    </w:pPr>
    <w:rPr>
      <w:rFonts w:ascii="Graphik-Regular" w:hAnsi="Graphik-Regular" w:cs="Graphik-Regular"/>
      <w:sz w:val="22"/>
      <w:szCs w:val="22"/>
    </w:rPr>
  </w:style>
  <w:style w:type="paragraph" w:customStyle="1" w:styleId="BasicParagraph">
    <w:name w:val="[Basic Paragraph]"/>
    <w:basedOn w:val="NoParagraphStyle"/>
    <w:uiPriority w:val="99"/>
  </w:style>
  <w:style w:type="paragraph" w:customStyle="1" w:styleId="HRVTableBody">
    <w:name w:val="HRV Table Body"/>
    <w:basedOn w:val="NoParagraphStyle"/>
    <w:uiPriority w:val="99"/>
    <w:pPr>
      <w:suppressAutoHyphens/>
      <w:spacing w:after="340" w:line="220" w:lineRule="atLeast"/>
    </w:pPr>
    <w:rPr>
      <w:rFonts w:ascii="Graphik-Regular" w:hAnsi="Graphik-Regular" w:cs="Graphik-Regular"/>
      <w:spacing w:val="-3"/>
      <w:sz w:val="20"/>
      <w:szCs w:val="20"/>
      <w:lang w:val="en-GB"/>
    </w:rPr>
  </w:style>
  <w:style w:type="paragraph" w:customStyle="1" w:styleId="HRVTableBodySmall">
    <w:name w:val="HRV Table Body (Small)"/>
    <w:basedOn w:val="HRVTableBody"/>
    <w:uiPriority w:val="99"/>
  </w:style>
  <w:style w:type="paragraph" w:customStyle="1" w:styleId="HRVNumeralsa">
    <w:name w:val="HRV Numerals (a"/>
    <w:aliases w:val="b,c)"/>
    <w:basedOn w:val="HRVNumeralsBlack"/>
    <w:uiPriority w:val="99"/>
  </w:style>
  <w:style w:type="paragraph" w:customStyle="1" w:styleId="HRVListBullet2ndlevel">
    <w:name w:val="HRV List Bullet 2nd level"/>
    <w:basedOn w:val="NoParagraphStyle"/>
    <w:uiPriority w:val="99"/>
    <w:pPr>
      <w:suppressAutoHyphens/>
      <w:spacing w:before="57" w:after="28" w:line="280" w:lineRule="atLeast"/>
      <w:ind w:left="510" w:right="1020" w:hanging="340"/>
    </w:pPr>
    <w:rPr>
      <w:rFonts w:ascii="Graphik-Regular" w:hAnsi="Graphik-Regular" w:cs="Graphik-Regular"/>
      <w:sz w:val="22"/>
      <w:szCs w:val="22"/>
    </w:rPr>
  </w:style>
  <w:style w:type="paragraph" w:customStyle="1" w:styleId="HRVListBullet2ndlevellast">
    <w:name w:val="HRV List Bullet 2nd level (last)"/>
    <w:basedOn w:val="NoParagraphStyle"/>
    <w:uiPriority w:val="99"/>
    <w:pPr>
      <w:suppressAutoHyphens/>
      <w:spacing w:before="57" w:after="198" w:line="280" w:lineRule="atLeast"/>
      <w:ind w:left="510" w:right="1020" w:hanging="340"/>
    </w:pPr>
    <w:rPr>
      <w:rFonts w:ascii="Graphik-Regular" w:hAnsi="Graphik-Regular" w:cs="Graphik-Regular"/>
      <w:sz w:val="22"/>
      <w:szCs w:val="22"/>
    </w:rPr>
  </w:style>
  <w:style w:type="paragraph" w:customStyle="1" w:styleId="HRVTableHeading">
    <w:name w:val="HRV Table Heading"/>
    <w:basedOn w:val="NoParagraphStyle"/>
    <w:uiPriority w:val="99"/>
    <w:pPr>
      <w:suppressAutoHyphens/>
      <w:spacing w:line="220" w:lineRule="atLeast"/>
    </w:pPr>
    <w:rPr>
      <w:rFonts w:ascii="Graphik-Medium" w:hAnsi="Graphik-Medium" w:cs="Graphik-Medium"/>
      <w:sz w:val="20"/>
      <w:szCs w:val="20"/>
      <w:lang w:val="en-GB"/>
    </w:rPr>
  </w:style>
  <w:style w:type="paragraph" w:customStyle="1" w:styleId="HRVTableBodyBullet">
    <w:name w:val="HRV Table Body Bullet"/>
    <w:basedOn w:val="HRVTableBodySmall"/>
    <w:uiPriority w:val="99"/>
    <w:pPr>
      <w:tabs>
        <w:tab w:val="left" w:pos="170"/>
      </w:tabs>
    </w:pPr>
  </w:style>
  <w:style w:type="character" w:customStyle="1" w:styleId="HRVItalics">
    <w:name w:val="HRV Italics"/>
    <w:uiPriority w:val="99"/>
    <w:rPr>
      <w:rFonts w:ascii="Graphik-RegularItalic" w:hAnsi="Graphik-RegularItalic"/>
      <w:i/>
      <w:color w:val="000000"/>
    </w:rPr>
  </w:style>
  <w:style w:type="character" w:customStyle="1" w:styleId="HRVWhite">
    <w:name w:val="HRV White"/>
    <w:uiPriority w:val="99"/>
    <w:rPr>
      <w:outline/>
    </w:rPr>
  </w:style>
  <w:style w:type="character" w:customStyle="1" w:styleId="HRVBlack">
    <w:name w:val="HRV Black"/>
    <w:uiPriority w:val="99"/>
    <w:rPr>
      <w:rFonts w:cs="Times New Roman"/>
      <w:outline w:val="0"/>
      <w:color w:val="000000"/>
    </w:rPr>
  </w:style>
  <w:style w:type="character" w:customStyle="1" w:styleId="HRVGreen">
    <w:name w:val="HRV Green"/>
    <w:uiPriority w:val="99"/>
    <w:rPr>
      <w:color w:val="77FFA0"/>
    </w:rPr>
  </w:style>
  <w:style w:type="character" w:customStyle="1" w:styleId="HRVRed">
    <w:name w:val="HRV Red"/>
    <w:uiPriority w:val="99"/>
    <w:rPr>
      <w:color w:val="A50000"/>
    </w:rPr>
  </w:style>
  <w:style w:type="character" w:customStyle="1" w:styleId="HRVYellow">
    <w:name w:val="HRV Yellow"/>
    <w:uiPriority w:val="99"/>
    <w:rPr>
      <w:color w:val="F2BA2D"/>
    </w:rPr>
  </w:style>
  <w:style w:type="character" w:customStyle="1" w:styleId="HRVBold">
    <w:name w:val="HRV Bold"/>
    <w:uiPriority w:val="99"/>
    <w:rPr>
      <w:rFonts w:ascii="Graphik-Semibold" w:hAnsi="Graphik-Semibold" w:cs="Graphik-Semibold"/>
      <w:outline w:val="0"/>
      <w:color w:val="000000"/>
    </w:rPr>
  </w:style>
  <w:style w:type="character" w:customStyle="1" w:styleId="HRVHyperlink">
    <w:name w:val="HRV Hyperlink"/>
    <w:uiPriority w:val="99"/>
    <w:rPr>
      <w:rFonts w:ascii="Graphik-Medium" w:hAnsi="Graphik-Medium"/>
      <w:color w:val="000000"/>
      <w:w w:val="100"/>
      <w:u w:val="thick" w:color="000000"/>
    </w:rPr>
  </w:style>
  <w:style w:type="character" w:customStyle="1" w:styleId="HRVBoldItalic">
    <w:name w:val="HRV Bold Italic"/>
    <w:uiPriority w:val="99"/>
    <w:rPr>
      <w:rFonts w:ascii="Graphik-SemiboldItalic" w:hAnsi="Graphik-SemiboldItalic" w:cs="Graphik-SemiboldItalic"/>
      <w:i/>
      <w:iCs/>
      <w:color w:val="000000"/>
    </w:rPr>
  </w:style>
  <w:style w:type="paragraph" w:customStyle="1" w:styleId="Pa71">
    <w:name w:val="Pa7_1"/>
    <w:basedOn w:val="Default"/>
    <w:next w:val="Default"/>
    <w:uiPriority w:val="99"/>
    <w:rsid w:val="00FB080C"/>
    <w:pPr>
      <w:spacing w:line="221" w:lineRule="atLeast"/>
    </w:pPr>
    <w:rPr>
      <w:rFonts w:ascii="Graphik Regular" w:hAnsi="Graphik Regular" w:cs="Times New Roman"/>
      <w:color w:val="auto"/>
    </w:rPr>
  </w:style>
  <w:style w:type="paragraph" w:styleId="ListBullet">
    <w:name w:val="List Bullet"/>
    <w:basedOn w:val="Normal"/>
    <w:uiPriority w:val="4"/>
    <w:qFormat/>
    <w:rsid w:val="00CF3E72"/>
    <w:pPr>
      <w:numPr>
        <w:numId w:val="10"/>
      </w:numPr>
      <w:spacing w:after="60" w:line="240" w:lineRule="atLeast"/>
    </w:pPr>
    <w:rPr>
      <w:rFonts w:ascii="Arial" w:hAnsi="Arial"/>
      <w:sz w:val="24"/>
      <w:szCs w:val="24"/>
      <w:lang w:eastAsia="en-GB"/>
    </w:rPr>
  </w:style>
  <w:style w:type="paragraph" w:styleId="ListBullet2">
    <w:name w:val="List Bullet 2"/>
    <w:basedOn w:val="Normal"/>
    <w:uiPriority w:val="4"/>
    <w:qFormat/>
    <w:rsid w:val="00CF3E72"/>
    <w:pPr>
      <w:numPr>
        <w:ilvl w:val="1"/>
        <w:numId w:val="10"/>
      </w:numPr>
      <w:spacing w:after="60" w:line="240" w:lineRule="atLeast"/>
    </w:pPr>
    <w:rPr>
      <w:rFonts w:ascii="Arial" w:hAnsi="Arial"/>
      <w:sz w:val="24"/>
      <w:szCs w:val="24"/>
      <w:lang w:eastAsia="en-GB"/>
    </w:rPr>
  </w:style>
  <w:style w:type="paragraph" w:styleId="ListBullet3">
    <w:name w:val="List Bullet 3"/>
    <w:basedOn w:val="Normal"/>
    <w:uiPriority w:val="4"/>
    <w:semiHidden/>
    <w:qFormat/>
    <w:rsid w:val="00CF3E72"/>
    <w:pPr>
      <w:numPr>
        <w:ilvl w:val="2"/>
        <w:numId w:val="10"/>
      </w:numPr>
      <w:spacing w:after="60" w:line="240" w:lineRule="atLeast"/>
    </w:pPr>
    <w:rPr>
      <w:rFonts w:ascii="Arial" w:hAnsi="Arial"/>
      <w:sz w:val="24"/>
      <w:szCs w:val="24"/>
      <w:lang w:eastAsia="en-GB"/>
    </w:rPr>
  </w:style>
  <w:style w:type="paragraph" w:styleId="ListNumber2">
    <w:name w:val="List Number 2"/>
    <w:basedOn w:val="Normal"/>
    <w:uiPriority w:val="5"/>
    <w:qFormat/>
    <w:rsid w:val="00CF3E72"/>
    <w:pPr>
      <w:numPr>
        <w:ilvl w:val="1"/>
        <w:numId w:val="11"/>
      </w:numPr>
      <w:spacing w:after="60" w:line="240" w:lineRule="atLeast"/>
    </w:pPr>
    <w:rPr>
      <w:rFonts w:ascii="Arial" w:hAnsi="Arial"/>
      <w:sz w:val="24"/>
      <w:szCs w:val="24"/>
      <w:lang w:eastAsia="en-GB"/>
    </w:rPr>
  </w:style>
  <w:style w:type="paragraph" w:styleId="ListNumber3">
    <w:name w:val="List Number 3"/>
    <w:basedOn w:val="Normal"/>
    <w:uiPriority w:val="5"/>
    <w:qFormat/>
    <w:rsid w:val="00CF3E72"/>
    <w:pPr>
      <w:numPr>
        <w:ilvl w:val="2"/>
        <w:numId w:val="11"/>
      </w:numPr>
      <w:spacing w:after="60" w:line="240" w:lineRule="atLeast"/>
      <w:ind w:left="1077" w:hanging="357"/>
    </w:pPr>
    <w:rPr>
      <w:rFonts w:ascii="Arial" w:hAnsi="Arial"/>
      <w:sz w:val="24"/>
      <w:szCs w:val="24"/>
      <w:lang w:eastAsia="en-GB"/>
    </w:rPr>
  </w:style>
  <w:style w:type="paragraph" w:styleId="ListNumber">
    <w:name w:val="List Number"/>
    <w:basedOn w:val="Normal"/>
    <w:uiPriority w:val="5"/>
    <w:qFormat/>
    <w:rsid w:val="00CF3E72"/>
    <w:pPr>
      <w:numPr>
        <w:numId w:val="11"/>
      </w:numPr>
      <w:spacing w:after="60" w:line="240" w:lineRule="atLeast"/>
    </w:pPr>
    <w:rPr>
      <w:rFonts w:ascii="Arial" w:hAnsi="Arial"/>
      <w:sz w:val="24"/>
      <w:szCs w:val="24"/>
      <w:lang w:eastAsia="en-GB"/>
    </w:rPr>
  </w:style>
  <w:style w:type="paragraph" w:customStyle="1" w:styleId="TableHeading1">
    <w:name w:val="Table Heading 1"/>
    <w:basedOn w:val="Normal"/>
    <w:uiPriority w:val="13"/>
    <w:qFormat/>
    <w:rsid w:val="00CF3E72"/>
    <w:pPr>
      <w:spacing w:before="120" w:after="120" w:line="260" w:lineRule="atLeast"/>
    </w:pPr>
    <w:rPr>
      <w:rFonts w:ascii="Arial" w:hAnsi="Arial"/>
      <w:b/>
      <w:bCs/>
      <w:sz w:val="21"/>
      <w:szCs w:val="24"/>
      <w:lang w:eastAsia="en-GB"/>
    </w:rPr>
  </w:style>
  <w:style w:type="paragraph" w:customStyle="1" w:styleId="TableListBullet">
    <w:name w:val="Table List Bullet"/>
    <w:basedOn w:val="Normal"/>
    <w:uiPriority w:val="14"/>
    <w:qFormat/>
    <w:rsid w:val="00CF3E72"/>
    <w:pPr>
      <w:numPr>
        <w:numId w:val="12"/>
      </w:numPr>
      <w:spacing w:before="120" w:after="120" w:line="260" w:lineRule="atLeast"/>
    </w:pPr>
    <w:rPr>
      <w:rFonts w:ascii="Arial" w:hAnsi="Arial"/>
      <w:bCs/>
      <w:sz w:val="20"/>
      <w:szCs w:val="24"/>
      <w:lang w:eastAsia="en-GB"/>
    </w:rPr>
  </w:style>
  <w:style w:type="paragraph" w:customStyle="1" w:styleId="TableListBullet2">
    <w:name w:val="Table List Bullet 2"/>
    <w:basedOn w:val="TableListBullet"/>
    <w:uiPriority w:val="14"/>
    <w:qFormat/>
    <w:rsid w:val="00CF3E72"/>
    <w:pPr>
      <w:numPr>
        <w:ilvl w:val="1"/>
      </w:numPr>
      <w:tabs>
        <w:tab w:val="num" w:pos="1021"/>
      </w:tabs>
    </w:pPr>
  </w:style>
  <w:style w:type="paragraph" w:customStyle="1" w:styleId="TableListNumber">
    <w:name w:val="Table List Number"/>
    <w:basedOn w:val="Normal"/>
    <w:uiPriority w:val="14"/>
    <w:qFormat/>
    <w:rsid w:val="00CF3E72"/>
    <w:pPr>
      <w:numPr>
        <w:numId w:val="8"/>
      </w:numPr>
      <w:spacing w:before="120" w:after="120" w:line="260" w:lineRule="atLeast"/>
      <w:ind w:left="357" w:hanging="357"/>
    </w:pPr>
    <w:rPr>
      <w:rFonts w:ascii="Arial" w:hAnsi="Arial"/>
      <w:bCs/>
      <w:sz w:val="20"/>
      <w:szCs w:val="24"/>
      <w:lang w:eastAsia="en-GB"/>
    </w:rPr>
  </w:style>
  <w:style w:type="paragraph" w:customStyle="1" w:styleId="TableListNumber2">
    <w:name w:val="Table List Number 2"/>
    <w:basedOn w:val="TableListNumber"/>
    <w:uiPriority w:val="14"/>
    <w:qFormat/>
    <w:rsid w:val="00CF3E72"/>
    <w:pPr>
      <w:numPr>
        <w:ilvl w:val="1"/>
      </w:numPr>
      <w:ind w:left="714" w:hanging="357"/>
    </w:pPr>
  </w:style>
  <w:style w:type="paragraph" w:customStyle="1" w:styleId="TableBodyText">
    <w:name w:val="Table Body Text"/>
    <w:basedOn w:val="Normal"/>
    <w:uiPriority w:val="14"/>
    <w:qFormat/>
    <w:rsid w:val="00CF3E72"/>
    <w:pPr>
      <w:spacing w:before="120" w:after="120" w:line="260" w:lineRule="atLeast"/>
    </w:pPr>
    <w:rPr>
      <w:rFonts w:ascii="Arial" w:hAnsi="Arial"/>
      <w:bCs/>
      <w:sz w:val="21"/>
      <w:szCs w:val="24"/>
      <w:lang w:eastAsia="en-GB"/>
    </w:rPr>
  </w:style>
  <w:style w:type="paragraph" w:customStyle="1" w:styleId="TableBodyTextsmall">
    <w:name w:val="Table Body Text (small)"/>
    <w:basedOn w:val="TableBodyText"/>
    <w:uiPriority w:val="15"/>
    <w:qFormat/>
    <w:rsid w:val="00CF3E72"/>
    <w:pPr>
      <w:spacing w:before="40" w:after="40" w:line="100" w:lineRule="atLeast"/>
    </w:pPr>
    <w:rPr>
      <w:sz w:val="18"/>
    </w:rPr>
  </w:style>
  <w:style w:type="character" w:customStyle="1" w:styleId="Characterbold">
    <w:name w:val="Character (bold)"/>
    <w:uiPriority w:val="2"/>
    <w:qFormat/>
    <w:rsid w:val="00CF3E72"/>
    <w:rPr>
      <w:b/>
      <w:lang w:val="en-AU" w:eastAsia="x-none"/>
    </w:rPr>
  </w:style>
  <w:style w:type="character" w:customStyle="1" w:styleId="Characteritalic">
    <w:name w:val="Character (italic)"/>
    <w:uiPriority w:val="2"/>
    <w:qFormat/>
    <w:rsid w:val="00CF3E72"/>
    <w:rPr>
      <w:i/>
      <w:lang w:val="en-AU" w:eastAsia="x-none"/>
    </w:rPr>
  </w:style>
  <w:style w:type="character" w:customStyle="1" w:styleId="Charactersubscript">
    <w:name w:val="Character (subscript)"/>
    <w:uiPriority w:val="3"/>
    <w:qFormat/>
    <w:rsid w:val="00CF3E72"/>
    <w:rPr>
      <w:vertAlign w:val="subscript"/>
      <w:lang w:val="en-AU" w:eastAsia="x-none"/>
    </w:rPr>
  </w:style>
  <w:style w:type="character" w:customStyle="1" w:styleId="Charactersuperscript">
    <w:name w:val="Character (superscript)"/>
    <w:uiPriority w:val="3"/>
    <w:qFormat/>
    <w:rsid w:val="00CF3E72"/>
    <w:rPr>
      <w:vertAlign w:val="superscript"/>
      <w:lang w:val="en-AU" w:eastAsia="x-none"/>
    </w:rPr>
  </w:style>
  <w:style w:type="character" w:customStyle="1" w:styleId="Characterunderline">
    <w:name w:val="Character (underline)"/>
    <w:uiPriority w:val="2"/>
    <w:qFormat/>
    <w:rsid w:val="00CF3E72"/>
    <w:rPr>
      <w:u w:val="single"/>
      <w:lang w:val="en-AU" w:eastAsia="x-none"/>
    </w:rPr>
  </w:style>
  <w:style w:type="paragraph" w:customStyle="1" w:styleId="AppendixHeading1">
    <w:name w:val="Appendix Heading 1"/>
    <w:basedOn w:val="Heading1"/>
    <w:next w:val="BodyText"/>
    <w:qFormat/>
    <w:rsid w:val="00CF3E72"/>
    <w:pPr>
      <w:keepNext w:val="0"/>
      <w:numPr>
        <w:numId w:val="9"/>
      </w:numPr>
      <w:tabs>
        <w:tab w:val="left" w:pos="2268"/>
      </w:tabs>
    </w:pPr>
    <w:rPr>
      <w:szCs w:val="30"/>
    </w:rPr>
  </w:style>
  <w:style w:type="paragraph" w:styleId="BodyText">
    <w:name w:val="Body Text"/>
    <w:basedOn w:val="Normal"/>
    <w:link w:val="BodyTextChar"/>
    <w:uiPriority w:val="99"/>
    <w:qFormat/>
    <w:rsid w:val="009E1664"/>
    <w:pPr>
      <w:suppressAutoHyphens/>
      <w:spacing w:before="80" w:after="120" w:line="240" w:lineRule="auto"/>
    </w:pPr>
    <w:rPr>
      <w:rFonts w:ascii="Arial" w:hAnsi="Arial"/>
      <w:sz w:val="24"/>
      <w:szCs w:val="20"/>
      <w:lang w:eastAsia="en-US"/>
    </w:rPr>
  </w:style>
  <w:style w:type="character" w:customStyle="1" w:styleId="BodyTextChar">
    <w:name w:val="Body Text Char"/>
    <w:link w:val="BodyText"/>
    <w:uiPriority w:val="99"/>
    <w:locked/>
    <w:rsid w:val="009E1664"/>
    <w:rPr>
      <w:rFonts w:ascii="Arial" w:eastAsia="Times New Roman" w:hAnsi="Arial" w:cs="Times New Roman"/>
      <w:sz w:val="20"/>
      <w:szCs w:val="20"/>
      <w:lang w:val="x-none" w:eastAsia="en-US"/>
    </w:rPr>
  </w:style>
  <w:style w:type="paragraph" w:customStyle="1" w:styleId="AppendixHeading2">
    <w:name w:val="Appendix Heading 2"/>
    <w:basedOn w:val="AppendixHeading1"/>
    <w:next w:val="BodyText"/>
    <w:qFormat/>
    <w:rsid w:val="00CF3E72"/>
    <w:pPr>
      <w:keepNext/>
      <w:numPr>
        <w:ilvl w:val="1"/>
      </w:numPr>
      <w:spacing w:before="300" w:after="0"/>
    </w:pPr>
    <w:rPr>
      <w:b/>
      <w:sz w:val="36"/>
    </w:rPr>
  </w:style>
  <w:style w:type="paragraph" w:customStyle="1" w:styleId="TableBodyTextrightalign">
    <w:name w:val="Table Body Text (right align)"/>
    <w:basedOn w:val="TableBodyText"/>
    <w:uiPriority w:val="15"/>
    <w:qFormat/>
    <w:rsid w:val="00CF3E72"/>
    <w:pPr>
      <w:jc w:val="right"/>
    </w:pPr>
  </w:style>
  <w:style w:type="paragraph" w:styleId="Quote">
    <w:name w:val="Quote"/>
    <w:basedOn w:val="Normal"/>
    <w:link w:val="QuoteChar"/>
    <w:uiPriority w:val="18"/>
    <w:qFormat/>
    <w:rsid w:val="00CF3E72"/>
    <w:pPr>
      <w:spacing w:before="120" w:after="120" w:line="260" w:lineRule="atLeast"/>
      <w:ind w:left="714" w:right="714"/>
    </w:pPr>
    <w:rPr>
      <w:rFonts w:ascii="Arial" w:hAnsi="Arial"/>
      <w:iCs/>
      <w:sz w:val="24"/>
      <w:szCs w:val="20"/>
      <w:lang w:eastAsia="en-US"/>
    </w:rPr>
  </w:style>
  <w:style w:type="character" w:customStyle="1" w:styleId="QuoteChar">
    <w:name w:val="Quote Char"/>
    <w:link w:val="Quote"/>
    <w:uiPriority w:val="18"/>
    <w:locked/>
    <w:rsid w:val="00CF3E72"/>
    <w:rPr>
      <w:rFonts w:ascii="Arial" w:eastAsia="Times New Roman" w:hAnsi="Arial" w:cs="Times New Roman"/>
      <w:iCs/>
      <w:sz w:val="20"/>
      <w:szCs w:val="20"/>
      <w:lang w:val="x-none" w:eastAsia="en-US"/>
    </w:rPr>
  </w:style>
  <w:style w:type="character" w:styleId="Hyperlink">
    <w:name w:val="Hyperlink"/>
    <w:uiPriority w:val="99"/>
    <w:qFormat/>
    <w:rsid w:val="00CF3E72"/>
    <w:rPr>
      <w:color w:val="0000FF"/>
      <w:u w:val="single"/>
    </w:rPr>
  </w:style>
  <w:style w:type="paragraph" w:styleId="Caption">
    <w:name w:val="caption"/>
    <w:basedOn w:val="Normal"/>
    <w:next w:val="BodyText"/>
    <w:uiPriority w:val="35"/>
    <w:rsid w:val="00CF3E72"/>
    <w:pPr>
      <w:spacing w:before="140" w:after="40" w:line="240" w:lineRule="atLeast"/>
    </w:pPr>
    <w:rPr>
      <w:rFonts w:ascii="Arial" w:hAnsi="Arial"/>
      <w:b/>
      <w:bCs/>
      <w:sz w:val="24"/>
      <w:szCs w:val="18"/>
      <w:lang w:eastAsia="en-US"/>
    </w:rPr>
  </w:style>
  <w:style w:type="character" w:customStyle="1" w:styleId="Characteryellowhighlight">
    <w:name w:val="Character (yellow highlight)"/>
    <w:uiPriority w:val="2"/>
    <w:qFormat/>
    <w:rsid w:val="00CF3E72"/>
    <w:rPr>
      <w:shd w:val="clear" w:color="auto" w:fill="FFFF00"/>
      <w:lang w:val="en-AU" w:eastAsia="x-none"/>
    </w:rPr>
  </w:style>
  <w:style w:type="paragraph" w:customStyle="1" w:styleId="BodyTextindent">
    <w:name w:val="Body Text (indent)"/>
    <w:basedOn w:val="BodyText"/>
    <w:qFormat/>
    <w:rsid w:val="00CF3E72"/>
    <w:pPr>
      <w:ind w:left="357"/>
    </w:pPr>
  </w:style>
  <w:style w:type="paragraph" w:customStyle="1" w:styleId="BodyTextindent2">
    <w:name w:val="Body Text (indent 2)"/>
    <w:basedOn w:val="BodyText"/>
    <w:uiPriority w:val="1"/>
    <w:qFormat/>
    <w:rsid w:val="00CF3E72"/>
    <w:pPr>
      <w:ind w:left="714"/>
    </w:pPr>
  </w:style>
  <w:style w:type="paragraph" w:customStyle="1" w:styleId="BodyTextindent3">
    <w:name w:val="Body Text (indent 3)"/>
    <w:basedOn w:val="BodyText"/>
    <w:uiPriority w:val="1"/>
    <w:semiHidden/>
    <w:qFormat/>
    <w:rsid w:val="00CF3E72"/>
    <w:pPr>
      <w:ind w:left="1077"/>
    </w:pPr>
  </w:style>
  <w:style w:type="paragraph" w:customStyle="1" w:styleId="EndNoteBibliographyTitle">
    <w:name w:val="EndNote Bibliography Title"/>
    <w:basedOn w:val="Heading1"/>
    <w:next w:val="Normal"/>
    <w:link w:val="EndNoteBibliographyTitleChar4"/>
    <w:uiPriority w:val="23"/>
    <w:semiHidden/>
    <w:rsid w:val="00CF3E72"/>
    <w:pPr>
      <w:spacing w:before="120"/>
    </w:pPr>
    <w:rPr>
      <w:rFonts w:cs="Calibri"/>
      <w:i/>
      <w:noProof/>
      <w:sz w:val="24"/>
    </w:rPr>
  </w:style>
  <w:style w:type="character" w:customStyle="1" w:styleId="EndNoteBibliographyTitleChar4">
    <w:name w:val="EndNote Bibliography Title Char4"/>
    <w:link w:val="EndNoteBibliographyTitle"/>
    <w:uiPriority w:val="23"/>
    <w:semiHidden/>
    <w:locked/>
    <w:rsid w:val="00CF3E72"/>
    <w:rPr>
      <w:rFonts w:ascii="Arial" w:hAnsi="Arial"/>
      <w:i/>
      <w:noProof/>
      <w:sz w:val="32"/>
    </w:rPr>
  </w:style>
  <w:style w:type="paragraph" w:customStyle="1" w:styleId="BodyTextindent4">
    <w:name w:val="Body Text (indent 4)"/>
    <w:basedOn w:val="BodyText"/>
    <w:uiPriority w:val="1"/>
    <w:semiHidden/>
    <w:qFormat/>
    <w:rsid w:val="00CF3E72"/>
    <w:pPr>
      <w:ind w:left="1435"/>
    </w:pPr>
  </w:style>
  <w:style w:type="table" w:customStyle="1" w:styleId="CustomTablestandard">
    <w:name w:val="Custom Table (standard)"/>
    <w:basedOn w:val="TableNormal"/>
    <w:uiPriority w:val="99"/>
    <w:rsid w:val="00CF3E72"/>
    <w:rPr>
      <w:rFonts w:ascii="Arial" w:hAnsi="Arial"/>
      <w:sz w:val="18"/>
      <w:lang w:val="en-US" w:eastAsia="en-US"/>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rFonts w:ascii="Arial" w:hAnsi="Arial" w:cs="Times New Roman"/>
        <w:b w:val="0"/>
        <w:color w:val="FFFFFF"/>
      </w:rPr>
      <w:tblPr/>
      <w:trPr>
        <w:cantSplit/>
        <w:tblHeader/>
      </w:trPr>
      <w:tcPr>
        <w:shd w:val="clear" w:color="auto" w:fill="808080"/>
      </w:tcPr>
    </w:tblStylePr>
  </w:style>
  <w:style w:type="paragraph" w:customStyle="1" w:styleId="TableBodyTextcentred">
    <w:name w:val="Table Body Text (centred)"/>
    <w:basedOn w:val="TableBodyText"/>
    <w:uiPriority w:val="15"/>
    <w:qFormat/>
    <w:rsid w:val="00CF3E72"/>
    <w:pPr>
      <w:jc w:val="center"/>
    </w:pPr>
  </w:style>
  <w:style w:type="paragraph" w:styleId="BalloonText">
    <w:name w:val="Balloon Text"/>
    <w:basedOn w:val="Normal"/>
    <w:link w:val="BalloonTextChar"/>
    <w:uiPriority w:val="99"/>
    <w:semiHidden/>
    <w:unhideWhenUsed/>
    <w:rsid w:val="00485D7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485D7B"/>
    <w:rPr>
      <w:rFonts w:ascii="Segoe UI" w:hAnsi="Segoe UI" w:cs="Segoe UI"/>
      <w:sz w:val="18"/>
      <w:szCs w:val="18"/>
    </w:rPr>
  </w:style>
  <w:style w:type="paragraph" w:styleId="NoSpacing">
    <w:name w:val="No Spacing"/>
    <w:uiPriority w:val="99"/>
    <w:qFormat/>
    <w:rsid w:val="00485D7B"/>
    <w:rPr>
      <w:rFonts w:ascii="Arial" w:hAnsi="Arial"/>
      <w:sz w:val="2"/>
      <w:szCs w:val="24"/>
      <w:lang w:eastAsia="en-GB"/>
    </w:rPr>
  </w:style>
  <w:style w:type="paragraph" w:styleId="ListParagraph">
    <w:name w:val="List Paragraph"/>
    <w:basedOn w:val="Normal"/>
    <w:uiPriority w:val="34"/>
    <w:qFormat/>
    <w:rsid w:val="00485D7B"/>
    <w:pPr>
      <w:spacing w:after="0" w:line="240" w:lineRule="auto"/>
      <w:ind w:left="720"/>
      <w:contextualSpacing/>
    </w:pPr>
    <w:rPr>
      <w:rFonts w:ascii="Arial" w:hAnsi="Arial"/>
      <w:sz w:val="24"/>
      <w:szCs w:val="24"/>
    </w:rPr>
  </w:style>
  <w:style w:type="paragraph" w:customStyle="1" w:styleId="AppendixHeading3">
    <w:name w:val="Appendix Heading 3"/>
    <w:basedOn w:val="Heading1"/>
    <w:next w:val="BodyText"/>
    <w:uiPriority w:val="11"/>
    <w:semiHidden/>
    <w:rsid w:val="00485D7B"/>
    <w:pPr>
      <w:spacing w:before="80" w:line="312" w:lineRule="auto"/>
    </w:pPr>
    <w:rPr>
      <w:b/>
      <w:color w:val="0C9FCD"/>
      <w:sz w:val="26"/>
      <w:szCs w:val="30"/>
    </w:rPr>
  </w:style>
  <w:style w:type="paragraph" w:customStyle="1" w:styleId="Heading1non-numbered">
    <w:name w:val="Heading 1 (non-numbered)"/>
    <w:basedOn w:val="Heading1"/>
    <w:next w:val="BodyText"/>
    <w:uiPriority w:val="10"/>
    <w:semiHidden/>
    <w:qFormat/>
    <w:rsid w:val="00485D7B"/>
    <w:pPr>
      <w:spacing w:before="80"/>
    </w:pPr>
  </w:style>
  <w:style w:type="paragraph" w:customStyle="1" w:styleId="Image">
    <w:name w:val="Image"/>
    <w:basedOn w:val="Normal"/>
    <w:next w:val="BodyText"/>
    <w:uiPriority w:val="19"/>
    <w:qFormat/>
    <w:rsid w:val="00485D7B"/>
    <w:pPr>
      <w:spacing w:before="120" w:after="0" w:line="260" w:lineRule="atLeast"/>
    </w:pPr>
    <w:rPr>
      <w:rFonts w:ascii="Arial" w:hAnsi="Arial"/>
      <w:sz w:val="24"/>
      <w:szCs w:val="24"/>
    </w:rPr>
  </w:style>
  <w:style w:type="paragraph" w:customStyle="1" w:styleId="InstructionalText">
    <w:name w:val="Instructional Text"/>
    <w:basedOn w:val="Normal"/>
    <w:uiPriority w:val="40"/>
    <w:semiHidden/>
    <w:rsid w:val="00485D7B"/>
    <w:pPr>
      <w:spacing w:after="80" w:line="288" w:lineRule="auto"/>
    </w:pPr>
    <w:rPr>
      <w:rFonts w:ascii="Arial" w:hAnsi="Arial"/>
      <w:vanish/>
      <w:color w:val="FF0000"/>
      <w:sz w:val="16"/>
      <w:szCs w:val="24"/>
      <w:lang w:eastAsia="en-GB"/>
    </w:rPr>
  </w:style>
  <w:style w:type="paragraph" w:customStyle="1" w:styleId="TableNote">
    <w:name w:val="Table Note"/>
    <w:basedOn w:val="TableBodyText"/>
    <w:next w:val="BodyText"/>
    <w:uiPriority w:val="15"/>
    <w:qFormat/>
    <w:rsid w:val="00485D7B"/>
    <w:pPr>
      <w:spacing w:before="80" w:after="80" w:line="200" w:lineRule="atLeast"/>
    </w:pPr>
  </w:style>
  <w:style w:type="table" w:styleId="TableGrid">
    <w:name w:val="Table Grid"/>
    <w:basedOn w:val="TableNormal"/>
    <w:uiPriority w:val="59"/>
    <w:rsid w:val="00485D7B"/>
    <w:rPr>
      <w:rFonts w:ascii="Arial" w:hAnsi="Arial"/>
      <w:sz w:val="18"/>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cs="Times New Roman"/>
        <w:b w:val="0"/>
        <w:sz w:val="18"/>
      </w:rPr>
      <w:tblPr/>
      <w:trPr>
        <w:tblHeader/>
      </w:trPr>
      <w:tcPr>
        <w:shd w:val="clear" w:color="auto" w:fill="F2F2F2"/>
      </w:tcPr>
    </w:tblStylePr>
  </w:style>
  <w:style w:type="paragraph" w:styleId="Header">
    <w:name w:val="header"/>
    <w:basedOn w:val="Normal"/>
    <w:link w:val="HeaderChar"/>
    <w:uiPriority w:val="24"/>
    <w:semiHidden/>
    <w:rsid w:val="00485D7B"/>
    <w:pPr>
      <w:tabs>
        <w:tab w:val="right" w:pos="0"/>
        <w:tab w:val="center" w:pos="4680"/>
        <w:tab w:val="right" w:pos="9360"/>
      </w:tabs>
      <w:spacing w:after="0" w:line="240" w:lineRule="auto"/>
    </w:pPr>
    <w:rPr>
      <w:rFonts w:ascii="Arial" w:hAnsi="Arial"/>
      <w:sz w:val="18"/>
      <w:szCs w:val="24"/>
    </w:rPr>
  </w:style>
  <w:style w:type="character" w:customStyle="1" w:styleId="HeaderChar">
    <w:name w:val="Header Char"/>
    <w:link w:val="Header"/>
    <w:uiPriority w:val="24"/>
    <w:semiHidden/>
    <w:locked/>
    <w:rsid w:val="00485D7B"/>
    <w:rPr>
      <w:rFonts w:ascii="Arial" w:hAnsi="Arial" w:cs="Times New Roman"/>
      <w:sz w:val="24"/>
      <w:szCs w:val="24"/>
    </w:rPr>
  </w:style>
  <w:style w:type="paragraph" w:styleId="Footer">
    <w:name w:val="footer"/>
    <w:basedOn w:val="Normal"/>
    <w:link w:val="FooterChar"/>
    <w:uiPriority w:val="24"/>
    <w:rsid w:val="00485D7B"/>
    <w:pPr>
      <w:tabs>
        <w:tab w:val="right" w:pos="14629"/>
      </w:tabs>
      <w:spacing w:after="0" w:line="240" w:lineRule="auto"/>
    </w:pPr>
    <w:rPr>
      <w:rFonts w:ascii="Arial" w:hAnsi="Arial"/>
      <w:sz w:val="18"/>
      <w:szCs w:val="24"/>
    </w:rPr>
  </w:style>
  <w:style w:type="character" w:customStyle="1" w:styleId="FooterChar">
    <w:name w:val="Footer Char"/>
    <w:link w:val="Footer"/>
    <w:uiPriority w:val="24"/>
    <w:locked/>
    <w:rsid w:val="00485D7B"/>
    <w:rPr>
      <w:rFonts w:ascii="Arial" w:hAnsi="Arial" w:cs="Times New Roman"/>
      <w:sz w:val="24"/>
      <w:szCs w:val="24"/>
    </w:rPr>
  </w:style>
  <w:style w:type="character" w:styleId="PageNumber">
    <w:name w:val="page number"/>
    <w:uiPriority w:val="99"/>
    <w:semiHidden/>
    <w:rsid w:val="00485D7B"/>
    <w:rPr>
      <w:lang w:val="en-AU" w:eastAsia="x-none"/>
    </w:rPr>
  </w:style>
  <w:style w:type="table" w:styleId="LightShading">
    <w:name w:val="Light Shading"/>
    <w:basedOn w:val="TableNormal"/>
    <w:uiPriority w:val="60"/>
    <w:rsid w:val="00485D7B"/>
    <w:rPr>
      <w:color w:val="000000"/>
      <w:lang w:val="en-US" w:eastAsia="en-US"/>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85D7B"/>
    <w:rPr>
      <w:color w:val="365F91"/>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styleId="Title">
    <w:name w:val="Title"/>
    <w:basedOn w:val="Normal"/>
    <w:next w:val="BodyText"/>
    <w:link w:val="TitleChar"/>
    <w:uiPriority w:val="24"/>
    <w:rsid w:val="00485D7B"/>
    <w:pPr>
      <w:spacing w:before="1600" w:after="0" w:line="240" w:lineRule="auto"/>
      <w:contextualSpacing/>
    </w:pPr>
    <w:rPr>
      <w:rFonts w:ascii="Arial" w:hAnsi="Arial"/>
      <w:color w:val="FFFFFF"/>
      <w:kern w:val="28"/>
      <w:sz w:val="80"/>
      <w:szCs w:val="52"/>
    </w:rPr>
  </w:style>
  <w:style w:type="character" w:customStyle="1" w:styleId="TitleChar">
    <w:name w:val="Title Char"/>
    <w:link w:val="Title"/>
    <w:uiPriority w:val="24"/>
    <w:locked/>
    <w:rsid w:val="00485D7B"/>
    <w:rPr>
      <w:rFonts w:ascii="Arial" w:hAnsi="Arial" w:cs="Times New Roman"/>
      <w:color w:val="FFFFFF"/>
      <w:kern w:val="28"/>
      <w:sz w:val="52"/>
      <w:szCs w:val="52"/>
    </w:rPr>
  </w:style>
  <w:style w:type="paragraph" w:styleId="Subtitle">
    <w:name w:val="Subtitle"/>
    <w:basedOn w:val="Normal"/>
    <w:next w:val="BodyText"/>
    <w:link w:val="SubtitleChar"/>
    <w:uiPriority w:val="24"/>
    <w:rsid w:val="00485D7B"/>
    <w:pPr>
      <w:numPr>
        <w:ilvl w:val="1"/>
      </w:numPr>
      <w:spacing w:after="200" w:line="240" w:lineRule="auto"/>
    </w:pPr>
    <w:rPr>
      <w:rFonts w:ascii="Arial" w:hAnsi="Arial"/>
      <w:iCs/>
      <w:color w:val="FFFFFF"/>
      <w:sz w:val="56"/>
      <w:szCs w:val="24"/>
    </w:rPr>
  </w:style>
  <w:style w:type="character" w:customStyle="1" w:styleId="SubtitleChar">
    <w:name w:val="Subtitle Char"/>
    <w:link w:val="Subtitle"/>
    <w:uiPriority w:val="24"/>
    <w:locked/>
    <w:rsid w:val="00485D7B"/>
    <w:rPr>
      <w:rFonts w:ascii="Arial" w:hAnsi="Arial" w:cs="Times New Roman"/>
      <w:iCs/>
      <w:color w:val="FFFFFF"/>
      <w:sz w:val="24"/>
      <w:szCs w:val="24"/>
    </w:rPr>
  </w:style>
  <w:style w:type="paragraph" w:styleId="TOCHeading">
    <w:name w:val="TOC Heading"/>
    <w:basedOn w:val="Heading1"/>
    <w:next w:val="Normal"/>
    <w:uiPriority w:val="39"/>
    <w:qFormat/>
    <w:rsid w:val="00485D7B"/>
    <w:pPr>
      <w:keepLines/>
      <w:spacing w:before="80"/>
      <w:outlineLvl w:val="9"/>
    </w:pPr>
    <w:rPr>
      <w:rFonts w:cs="Times New Roman"/>
      <w:szCs w:val="28"/>
      <w:lang w:eastAsia="en-US"/>
    </w:rPr>
  </w:style>
  <w:style w:type="paragraph" w:styleId="TOC1">
    <w:name w:val="toc 1"/>
    <w:aliases w:val="VEOHRC TOC 1"/>
    <w:basedOn w:val="Normal"/>
    <w:next w:val="Normal"/>
    <w:autoRedefine/>
    <w:uiPriority w:val="39"/>
    <w:rsid w:val="00485D7B"/>
    <w:pPr>
      <w:tabs>
        <w:tab w:val="left" w:pos="680"/>
        <w:tab w:val="right" w:leader="dot" w:pos="9017"/>
      </w:tabs>
      <w:spacing w:before="240" w:after="0" w:line="240" w:lineRule="auto"/>
      <w:ind w:left="1247" w:right="851" w:hanging="1247"/>
    </w:pPr>
    <w:rPr>
      <w:rFonts w:ascii="Arial" w:hAnsi="Arial"/>
      <w:b/>
      <w:sz w:val="24"/>
      <w:szCs w:val="24"/>
    </w:rPr>
  </w:style>
  <w:style w:type="paragraph" w:styleId="TOC2">
    <w:name w:val="toc 2"/>
    <w:basedOn w:val="Normal"/>
    <w:next w:val="Normal"/>
    <w:autoRedefine/>
    <w:uiPriority w:val="39"/>
    <w:rsid w:val="00485D7B"/>
    <w:pPr>
      <w:tabs>
        <w:tab w:val="left" w:pos="680"/>
        <w:tab w:val="right" w:leader="dot" w:pos="9017"/>
      </w:tabs>
      <w:spacing w:before="120" w:after="0" w:line="240" w:lineRule="auto"/>
      <w:ind w:right="851"/>
    </w:pPr>
    <w:rPr>
      <w:rFonts w:ascii="Arial" w:hAnsi="Arial"/>
      <w:sz w:val="24"/>
      <w:szCs w:val="24"/>
    </w:rPr>
  </w:style>
  <w:style w:type="paragraph" w:styleId="TOC3">
    <w:name w:val="toc 3"/>
    <w:basedOn w:val="Normal"/>
    <w:next w:val="Normal"/>
    <w:autoRedefine/>
    <w:uiPriority w:val="39"/>
    <w:rsid w:val="00485D7B"/>
    <w:pPr>
      <w:tabs>
        <w:tab w:val="left" w:pos="680"/>
        <w:tab w:val="right" w:leader="dot" w:pos="9017"/>
      </w:tabs>
      <w:spacing w:after="100" w:line="240" w:lineRule="auto"/>
      <w:ind w:left="340" w:right="851"/>
    </w:pPr>
    <w:rPr>
      <w:rFonts w:ascii="Arial" w:hAnsi="Arial"/>
      <w:i/>
      <w:sz w:val="20"/>
      <w:szCs w:val="24"/>
    </w:rPr>
  </w:style>
  <w:style w:type="paragraph" w:customStyle="1" w:styleId="Footerlandscape">
    <w:name w:val="Footer (landscape)"/>
    <w:basedOn w:val="Footer"/>
    <w:uiPriority w:val="24"/>
    <w:semiHidden/>
    <w:rsid w:val="00485D7B"/>
    <w:pPr>
      <w:tabs>
        <w:tab w:val="right" w:pos="13608"/>
      </w:tabs>
    </w:pPr>
  </w:style>
  <w:style w:type="paragraph" w:customStyle="1" w:styleId="Headerlandscape">
    <w:name w:val="Header (landscape)"/>
    <w:basedOn w:val="Header"/>
    <w:uiPriority w:val="24"/>
    <w:semiHidden/>
    <w:rsid w:val="00485D7B"/>
    <w:pPr>
      <w:tabs>
        <w:tab w:val="clear" w:pos="9360"/>
        <w:tab w:val="right" w:pos="13608"/>
      </w:tabs>
    </w:pPr>
  </w:style>
  <w:style w:type="paragraph" w:customStyle="1" w:styleId="ListLegal">
    <w:name w:val="List Legal"/>
    <w:basedOn w:val="ListNumber"/>
    <w:uiPriority w:val="8"/>
    <w:semiHidden/>
    <w:qFormat/>
    <w:rsid w:val="00485D7B"/>
    <w:pPr>
      <w:numPr>
        <w:numId w:val="15"/>
      </w:numPr>
    </w:pPr>
  </w:style>
  <w:style w:type="paragraph" w:customStyle="1" w:styleId="ListLegal2">
    <w:name w:val="List Legal 2"/>
    <w:basedOn w:val="ListNumber2"/>
    <w:uiPriority w:val="8"/>
    <w:semiHidden/>
    <w:qFormat/>
    <w:rsid w:val="00485D7B"/>
    <w:pPr>
      <w:numPr>
        <w:numId w:val="15"/>
      </w:numPr>
      <w:tabs>
        <w:tab w:val="left" w:pos="1077"/>
      </w:tabs>
    </w:pPr>
  </w:style>
  <w:style w:type="paragraph" w:customStyle="1" w:styleId="ListLegal3">
    <w:name w:val="List Legal 3"/>
    <w:basedOn w:val="ListLegal2"/>
    <w:uiPriority w:val="8"/>
    <w:semiHidden/>
    <w:qFormat/>
    <w:rsid w:val="00485D7B"/>
    <w:pPr>
      <w:numPr>
        <w:ilvl w:val="2"/>
      </w:numPr>
      <w:tabs>
        <w:tab w:val="clear" w:pos="1077"/>
        <w:tab w:val="left" w:pos="1435"/>
      </w:tabs>
    </w:pPr>
  </w:style>
  <w:style w:type="paragraph" w:customStyle="1" w:styleId="DocumentDetails">
    <w:name w:val="Document Details"/>
    <w:basedOn w:val="Normal"/>
    <w:next w:val="BodyText"/>
    <w:uiPriority w:val="24"/>
    <w:semiHidden/>
    <w:rsid w:val="00485D7B"/>
    <w:pPr>
      <w:spacing w:before="120" w:after="0" w:line="240" w:lineRule="auto"/>
      <w:jc w:val="center"/>
    </w:pPr>
    <w:rPr>
      <w:rFonts w:ascii="Arial" w:hAnsi="Arial"/>
      <w:sz w:val="24"/>
      <w:szCs w:val="24"/>
    </w:rPr>
  </w:style>
  <w:style w:type="paragraph" w:customStyle="1" w:styleId="SingleSpace">
    <w:name w:val="Single Space"/>
    <w:basedOn w:val="BodyText"/>
    <w:uiPriority w:val="21"/>
    <w:semiHidden/>
    <w:rsid w:val="00485D7B"/>
    <w:rPr>
      <w:sz w:val="2"/>
      <w:szCs w:val="24"/>
      <w:lang w:eastAsia="en-AU"/>
    </w:rPr>
  </w:style>
  <w:style w:type="paragraph" w:styleId="TableofFigures">
    <w:name w:val="table of figures"/>
    <w:basedOn w:val="Normal"/>
    <w:next w:val="Normal"/>
    <w:uiPriority w:val="99"/>
    <w:rsid w:val="00485D7B"/>
    <w:pPr>
      <w:spacing w:before="120" w:after="0" w:line="240" w:lineRule="auto"/>
      <w:ind w:right="851"/>
    </w:pPr>
    <w:rPr>
      <w:rFonts w:ascii="Arial" w:hAnsi="Arial"/>
      <w:sz w:val="24"/>
      <w:szCs w:val="24"/>
    </w:rPr>
  </w:style>
  <w:style w:type="character" w:customStyle="1" w:styleId="Charactersourcecode">
    <w:name w:val="Character (source code)"/>
    <w:uiPriority w:val="3"/>
    <w:semiHidden/>
    <w:qFormat/>
    <w:rsid w:val="00485D7B"/>
    <w:rPr>
      <w:rFonts w:ascii="Courier New" w:hAnsi="Courier New"/>
    </w:rPr>
  </w:style>
  <w:style w:type="paragraph" w:customStyle="1" w:styleId="EndNoteBibliography">
    <w:name w:val="EndNote Bibliography"/>
    <w:basedOn w:val="BodyText"/>
    <w:link w:val="EndNoteBibliographyChar"/>
    <w:uiPriority w:val="23"/>
    <w:semiHidden/>
    <w:rsid w:val="00485D7B"/>
    <w:pPr>
      <w:ind w:left="720" w:hanging="720"/>
    </w:pPr>
    <w:rPr>
      <w:rFonts w:cs="Calibri"/>
      <w:noProof/>
      <w:szCs w:val="22"/>
      <w:lang w:eastAsia="en-AU"/>
    </w:rPr>
  </w:style>
  <w:style w:type="character" w:customStyle="1" w:styleId="EndNoteBibliographyChar">
    <w:name w:val="EndNote Bibliography Char"/>
    <w:link w:val="EndNoteBibliography"/>
    <w:uiPriority w:val="23"/>
    <w:semiHidden/>
    <w:locked/>
    <w:rsid w:val="00485D7B"/>
    <w:rPr>
      <w:rFonts w:ascii="Arial" w:hAnsi="Arial"/>
      <w:noProof/>
      <w:sz w:val="24"/>
    </w:rPr>
  </w:style>
  <w:style w:type="character" w:styleId="PlaceholderText">
    <w:name w:val="Placeholder Text"/>
    <w:uiPriority w:val="99"/>
    <w:semiHidden/>
    <w:rsid w:val="00485D7B"/>
    <w:rPr>
      <w:color w:val="FF0000"/>
    </w:rPr>
  </w:style>
  <w:style w:type="paragraph" w:styleId="TOC4">
    <w:name w:val="toc 4"/>
    <w:basedOn w:val="TOC1"/>
    <w:next w:val="Normal"/>
    <w:autoRedefine/>
    <w:uiPriority w:val="39"/>
    <w:rsid w:val="00485D7B"/>
    <w:pPr>
      <w:tabs>
        <w:tab w:val="left" w:pos="1418"/>
      </w:tabs>
      <w:ind w:left="1418" w:hanging="1418"/>
    </w:pPr>
    <w:rPr>
      <w:b w:val="0"/>
      <w:noProof/>
    </w:rPr>
  </w:style>
  <w:style w:type="paragraph" w:styleId="FootnoteText">
    <w:name w:val="footnote text"/>
    <w:aliases w:val="single space Char,single space,Footnote Reference1,FA Fu,Footnote Text Char Char Char Char Char,Footnote Text Char Char Char Char,vFootnote Text,Footnote Text Char Char,Footnote Text Char1 Char Char"/>
    <w:basedOn w:val="Normal"/>
    <w:link w:val="FootnoteTextChar"/>
    <w:uiPriority w:val="99"/>
    <w:qFormat/>
    <w:rsid w:val="00485D7B"/>
    <w:pPr>
      <w:spacing w:after="80" w:line="240" w:lineRule="auto"/>
      <w:ind w:left="113" w:hanging="113"/>
    </w:pPr>
    <w:rPr>
      <w:rFonts w:ascii="Arial" w:hAnsi="Arial"/>
      <w:sz w:val="18"/>
      <w:szCs w:val="24"/>
    </w:rPr>
  </w:style>
  <w:style w:type="table" w:customStyle="1" w:styleId="CustomTabledetailed">
    <w:name w:val="Custom Table (detailed)"/>
    <w:basedOn w:val="TableNormal"/>
    <w:uiPriority w:val="99"/>
    <w:rsid w:val="00485D7B"/>
    <w:rPr>
      <w:rFonts w:ascii="Arial" w:hAnsi="Arial"/>
      <w:sz w:val="18"/>
      <w:lang w:val="en-US" w:eastAsia="en-US"/>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rFonts w:cs="Times New Roman"/>
        <w:b w:val="0"/>
        <w:color w:val="FFFFFF"/>
      </w:rPr>
      <w:tblPr/>
      <w:trPr>
        <w:cantSplit/>
        <w:tblHeader/>
      </w:trPr>
      <w:tcPr>
        <w:shd w:val="clear" w:color="auto" w:fill="808080"/>
      </w:tcPr>
    </w:tblStylePr>
    <w:tblStylePr w:type="lastRow">
      <w:rPr>
        <w:rFonts w:cs="Times New Roman"/>
      </w:rPr>
      <w:tblPr/>
      <w:tcPr>
        <w:shd w:val="clear" w:color="auto" w:fill="D9D9D9"/>
      </w:tcPr>
    </w:tblStylePr>
    <w:tblStylePr w:type="firstCol">
      <w:rPr>
        <w:rFonts w:cs="Times New Roman"/>
        <w:b w:val="0"/>
        <w:color w:val="FFFFFF"/>
      </w:rPr>
      <w:tblPr/>
      <w:tcPr>
        <w:shd w:val="clear" w:color="auto" w:fill="808080"/>
      </w:tcPr>
    </w:tblStylePr>
    <w:tblStylePr w:type="band2Vert">
      <w:rPr>
        <w:rFonts w:cs="Times New Roman"/>
      </w:rPr>
      <w:tblPr/>
      <w:tcPr>
        <w:shd w:val="clear" w:color="auto" w:fill="F2F2F2"/>
      </w:tcPr>
    </w:tblStylePr>
    <w:tblStylePr w:type="band2Horz">
      <w:rPr>
        <w:rFonts w:cs="Times New Roman"/>
      </w:rPr>
      <w:tblPr/>
      <w:tcPr>
        <w:shd w:val="clear" w:color="auto" w:fill="F2F2F2"/>
      </w:tcPr>
    </w:tblStylePr>
  </w:style>
  <w:style w:type="character" w:customStyle="1" w:styleId="FootnoteTextChar">
    <w:name w:val="Footnote Text Char"/>
    <w:aliases w:val="single space Char Char,single space Char1,Footnote Reference1 Char,FA Fu Char,Footnote Text Char Char Char Char Char Char,Footnote Text Char Char Char Char Char1,vFootnote Text Char,Footnote Text Char Char Char"/>
    <w:link w:val="FootnoteText"/>
    <w:uiPriority w:val="99"/>
    <w:locked/>
    <w:rsid w:val="00485D7B"/>
    <w:rPr>
      <w:rFonts w:ascii="Arial" w:hAnsi="Arial" w:cs="Times New Roman"/>
      <w:sz w:val="24"/>
      <w:szCs w:val="24"/>
    </w:rPr>
  </w:style>
  <w:style w:type="table" w:customStyle="1" w:styleId="CustomTablebasic">
    <w:name w:val="Custom Table (basic)"/>
    <w:basedOn w:val="TableNormal"/>
    <w:uiPriority w:val="99"/>
    <w:rsid w:val="00485D7B"/>
    <w:rPr>
      <w:rFonts w:ascii="Arial" w:hAnsi="Arial"/>
      <w:sz w:val="18"/>
      <w:lang w:val="en-US" w:eastAsia="en-US"/>
    </w:rPr>
    <w:tblPr>
      <w:tblStyleRowBandSize w:val="1"/>
      <w:tblStyleColBandSize w:val="1"/>
      <w:tblBorders>
        <w:top w:val="single" w:sz="4" w:space="0" w:color="B4C6E7"/>
        <w:bottom w:val="single" w:sz="4" w:space="0" w:color="B4C6E7"/>
        <w:insideH w:val="single" w:sz="4" w:space="0" w:color="B4C6E7"/>
        <w:insideV w:val="single" w:sz="4" w:space="0" w:color="B4C6E7"/>
      </w:tblBorders>
    </w:tblPr>
    <w:trPr>
      <w:cantSplit/>
    </w:trPr>
    <w:tblStylePr w:type="firstRow">
      <w:rPr>
        <w:rFonts w:cs="Times New Roman"/>
        <w:b w:val="0"/>
        <w:color w:val="auto"/>
      </w:rPr>
    </w:tblStylePr>
    <w:tblStylePr w:type="firstCol">
      <w:rPr>
        <w:rFonts w:cs="Times New Roman"/>
        <w:b w:val="0"/>
        <w:color w:val="auto"/>
      </w:rPr>
    </w:tblStylePr>
  </w:style>
  <w:style w:type="table" w:customStyle="1" w:styleId="CustomTableplaceholder">
    <w:name w:val="Custom Table (placeholder)"/>
    <w:basedOn w:val="TableNormal"/>
    <w:uiPriority w:val="99"/>
    <w:rsid w:val="00485D7B"/>
    <w:rPr>
      <w:rFonts w:ascii="Arial" w:hAnsi="Arial"/>
      <w:lang w:val="en-US" w:eastAsia="en-US"/>
    </w:rPr>
    <w:tblPr/>
  </w:style>
  <w:style w:type="character" w:styleId="UnresolvedMention">
    <w:name w:val="Unresolved Mention"/>
    <w:uiPriority w:val="99"/>
    <w:semiHidden/>
    <w:rsid w:val="00485D7B"/>
    <w:rPr>
      <w:color w:val="605E5C"/>
      <w:shd w:val="clear" w:color="auto" w:fill="E1DFDD"/>
    </w:rPr>
  </w:style>
  <w:style w:type="table" w:customStyle="1" w:styleId="CustomTablerecommendationsbox">
    <w:name w:val="Custom Table (recommendations box)"/>
    <w:basedOn w:val="TableNormal"/>
    <w:uiPriority w:val="99"/>
    <w:rsid w:val="00485D7B"/>
    <w:rPr>
      <w:lang w:val="en-US" w:eastAsia="en-US"/>
    </w:rPr>
    <w:tblPr/>
    <w:tcPr>
      <w:shd w:val="clear" w:color="auto" w:fill="BDD6EE"/>
    </w:tcPr>
  </w:style>
  <w:style w:type="table" w:customStyle="1" w:styleId="CustomTablebreakoutbox">
    <w:name w:val="Custom Table (breakout box)"/>
    <w:basedOn w:val="TableNormal"/>
    <w:uiPriority w:val="99"/>
    <w:rsid w:val="00485D7B"/>
    <w:rPr>
      <w:lang w:val="en-US" w:eastAsia="en-US"/>
    </w:rPr>
    <w:tblPr/>
    <w:tcPr>
      <w:shd w:val="clear" w:color="auto" w:fill="C5E0B3"/>
    </w:tcPr>
  </w:style>
  <w:style w:type="paragraph" w:styleId="EndnoteText">
    <w:name w:val="endnote text"/>
    <w:basedOn w:val="Normal"/>
    <w:link w:val="EndnoteTextChar"/>
    <w:uiPriority w:val="99"/>
    <w:semiHidden/>
    <w:rsid w:val="00485D7B"/>
    <w:pPr>
      <w:spacing w:after="0" w:line="240" w:lineRule="auto"/>
    </w:pPr>
    <w:rPr>
      <w:rFonts w:ascii="Arial" w:hAnsi="Arial"/>
      <w:sz w:val="20"/>
      <w:szCs w:val="24"/>
    </w:rPr>
  </w:style>
  <w:style w:type="character" w:customStyle="1" w:styleId="EndnoteTextChar">
    <w:name w:val="Endnote Text Char"/>
    <w:link w:val="EndnoteText"/>
    <w:uiPriority w:val="99"/>
    <w:semiHidden/>
    <w:locked/>
    <w:rsid w:val="00485D7B"/>
    <w:rPr>
      <w:rFonts w:ascii="Arial" w:hAnsi="Arial" w:cs="Times New Roman"/>
      <w:sz w:val="24"/>
      <w:szCs w:val="24"/>
    </w:rPr>
  </w:style>
  <w:style w:type="character" w:styleId="EndnoteReference">
    <w:name w:val="endnote reference"/>
    <w:uiPriority w:val="99"/>
    <w:semiHidden/>
    <w:rsid w:val="00485D7B"/>
    <w:rPr>
      <w:vertAlign w:val="superscript"/>
    </w:rPr>
  </w:style>
  <w:style w:type="paragraph" w:customStyle="1" w:styleId="RecommendationsHeading">
    <w:name w:val="Recommendations Heading"/>
    <w:basedOn w:val="BodyText"/>
    <w:next w:val="BodyText"/>
    <w:uiPriority w:val="16"/>
    <w:qFormat/>
    <w:rsid w:val="00485D7B"/>
    <w:pPr>
      <w:numPr>
        <w:numId w:val="16"/>
      </w:numPr>
    </w:pPr>
    <w:rPr>
      <w:b/>
      <w:sz w:val="36"/>
      <w:szCs w:val="24"/>
      <w:lang w:eastAsia="en-AU"/>
    </w:rPr>
  </w:style>
  <w:style w:type="paragraph" w:customStyle="1" w:styleId="RecommendationList">
    <w:name w:val="Recommendation List"/>
    <w:basedOn w:val="Normal"/>
    <w:next w:val="BodyText"/>
    <w:uiPriority w:val="17"/>
    <w:qFormat/>
    <w:rsid w:val="00485D7B"/>
    <w:pPr>
      <w:numPr>
        <w:ilvl w:val="1"/>
        <w:numId w:val="16"/>
      </w:numPr>
      <w:spacing w:after="0" w:line="240" w:lineRule="auto"/>
    </w:pPr>
    <w:rPr>
      <w:rFonts w:ascii="Arial" w:hAnsi="Arial"/>
      <w:sz w:val="28"/>
      <w:szCs w:val="24"/>
    </w:rPr>
  </w:style>
  <w:style w:type="table" w:customStyle="1" w:styleId="CustomTableblue">
    <w:name w:val="Custom Table (blue)"/>
    <w:basedOn w:val="TableNormal"/>
    <w:uiPriority w:val="99"/>
    <w:rsid w:val="00485D7B"/>
    <w:rPr>
      <w:sz w:val="21"/>
      <w:lang w:val="en-US" w:eastAsia="en-US"/>
    </w:r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FFF"/>
    </w:tcPr>
    <w:tblStylePr w:type="firstRow">
      <w:rPr>
        <w:rFonts w:cs="Times New Roman"/>
        <w:b/>
        <w:color w:val="FFFFFF"/>
        <w:sz w:val="21"/>
      </w:rPr>
      <w:tblPr/>
      <w:tcPr>
        <w:shd w:val="clear" w:color="auto" w:fill="0070C0"/>
      </w:tcPr>
    </w:tblStylePr>
    <w:tblStylePr w:type="firstCol">
      <w:rPr>
        <w:rFonts w:cs="Times New Roman"/>
        <w:b/>
        <w:color w:val="FFFFFF"/>
      </w:rPr>
      <w:tblPr/>
      <w:tcPr>
        <w:shd w:val="clear" w:color="auto" w:fill="0070C0"/>
      </w:tcPr>
    </w:tblStylePr>
    <w:tblStylePr w:type="band1Horz">
      <w:rPr>
        <w:rFonts w:cs="Times New Roman"/>
      </w:rPr>
      <w:tblPr/>
      <w:tcPr>
        <w:shd w:val="clear" w:color="auto" w:fill="B4C6E7"/>
      </w:tcPr>
    </w:tblStylePr>
    <w:tblStylePr w:type="band2Horz">
      <w:rPr>
        <w:rFonts w:cs="Times New Roman"/>
      </w:rPr>
      <w:tblPr/>
      <w:tcPr>
        <w:shd w:val="clear" w:color="auto" w:fill="D9E2F3"/>
      </w:tcPr>
    </w:tblStylePr>
  </w:style>
  <w:style w:type="paragraph" w:styleId="BlockText">
    <w:name w:val="Block Text"/>
    <w:basedOn w:val="Normal"/>
    <w:uiPriority w:val="99"/>
    <w:semiHidden/>
    <w:rsid w:val="00485D7B"/>
    <w:pPr>
      <w:spacing w:after="120" w:line="240" w:lineRule="auto"/>
      <w:ind w:left="1440" w:right="1440"/>
    </w:pPr>
    <w:rPr>
      <w:rFonts w:ascii="Arial" w:hAnsi="Arial"/>
      <w:sz w:val="24"/>
      <w:szCs w:val="24"/>
    </w:rPr>
  </w:style>
  <w:style w:type="paragraph" w:customStyle="1" w:styleId="VEOHRCListBullet2ndlevel">
    <w:name w:val="VEOHRC List Bullet 2nd level"/>
    <w:basedOn w:val="VEOHRCListBullet"/>
    <w:qFormat/>
    <w:rsid w:val="00485D7B"/>
    <w:pPr>
      <w:numPr>
        <w:numId w:val="17"/>
      </w:numPr>
    </w:pPr>
  </w:style>
  <w:style w:type="paragraph" w:styleId="BodyText2">
    <w:name w:val="Body Text 2"/>
    <w:basedOn w:val="Normal"/>
    <w:link w:val="BodyText2Char"/>
    <w:uiPriority w:val="99"/>
    <w:semiHidden/>
    <w:rsid w:val="00485D7B"/>
    <w:pPr>
      <w:spacing w:after="120" w:line="480" w:lineRule="auto"/>
    </w:pPr>
    <w:rPr>
      <w:rFonts w:ascii="Arial" w:hAnsi="Arial"/>
      <w:sz w:val="24"/>
      <w:szCs w:val="24"/>
    </w:rPr>
  </w:style>
  <w:style w:type="character" w:customStyle="1" w:styleId="BodyText2Char">
    <w:name w:val="Body Text 2 Char"/>
    <w:link w:val="BodyText2"/>
    <w:uiPriority w:val="99"/>
    <w:semiHidden/>
    <w:locked/>
    <w:rsid w:val="00485D7B"/>
    <w:rPr>
      <w:rFonts w:ascii="Arial" w:hAnsi="Arial" w:cs="Times New Roman"/>
      <w:sz w:val="24"/>
      <w:szCs w:val="24"/>
    </w:rPr>
  </w:style>
  <w:style w:type="paragraph" w:styleId="BodyText3">
    <w:name w:val="Body Text 3"/>
    <w:basedOn w:val="Normal"/>
    <w:link w:val="BodyText3Char"/>
    <w:uiPriority w:val="99"/>
    <w:semiHidden/>
    <w:rsid w:val="00485D7B"/>
    <w:pPr>
      <w:spacing w:after="120" w:line="240" w:lineRule="auto"/>
    </w:pPr>
    <w:rPr>
      <w:rFonts w:ascii="Arial" w:hAnsi="Arial"/>
      <w:sz w:val="16"/>
      <w:szCs w:val="16"/>
    </w:rPr>
  </w:style>
  <w:style w:type="character" w:customStyle="1" w:styleId="BodyText3Char">
    <w:name w:val="Body Text 3 Char"/>
    <w:link w:val="BodyText3"/>
    <w:uiPriority w:val="99"/>
    <w:semiHidden/>
    <w:locked/>
    <w:rsid w:val="00485D7B"/>
    <w:rPr>
      <w:rFonts w:ascii="Arial" w:hAnsi="Arial" w:cs="Times New Roman"/>
      <w:sz w:val="16"/>
      <w:szCs w:val="16"/>
    </w:rPr>
  </w:style>
  <w:style w:type="paragraph" w:styleId="BodyTextFirstIndent">
    <w:name w:val="Body Text First Indent"/>
    <w:basedOn w:val="Normal"/>
    <w:link w:val="BodyTextFirstIndentChar"/>
    <w:uiPriority w:val="99"/>
    <w:semiHidden/>
    <w:rsid w:val="00485D7B"/>
    <w:pPr>
      <w:spacing w:after="0" w:line="240" w:lineRule="auto"/>
      <w:ind w:firstLine="210"/>
    </w:pPr>
    <w:rPr>
      <w:rFonts w:ascii="Arial" w:hAnsi="Arial"/>
      <w:sz w:val="24"/>
      <w:szCs w:val="24"/>
    </w:rPr>
  </w:style>
  <w:style w:type="character" w:customStyle="1" w:styleId="BodyTextFirstIndentChar">
    <w:name w:val="Body Text First Indent Char"/>
    <w:link w:val="BodyTextFirstIndent"/>
    <w:uiPriority w:val="99"/>
    <w:semiHidden/>
    <w:locked/>
    <w:rsid w:val="00485D7B"/>
    <w:rPr>
      <w:rFonts w:ascii="Arial" w:eastAsia="Times New Roman" w:hAnsi="Arial" w:cs="Times New Roman"/>
      <w:sz w:val="24"/>
      <w:szCs w:val="24"/>
      <w:lang w:val="x-none" w:eastAsia="en-US"/>
    </w:rPr>
  </w:style>
  <w:style w:type="paragraph" w:styleId="BodyTextIndent0">
    <w:name w:val="Body Text Indent"/>
    <w:basedOn w:val="Normal"/>
    <w:link w:val="BodyTextIndentChar"/>
    <w:uiPriority w:val="99"/>
    <w:semiHidden/>
    <w:rsid w:val="00485D7B"/>
    <w:pPr>
      <w:spacing w:after="120" w:line="240" w:lineRule="auto"/>
      <w:ind w:left="283"/>
    </w:pPr>
    <w:rPr>
      <w:rFonts w:ascii="Arial" w:hAnsi="Arial"/>
      <w:sz w:val="24"/>
      <w:szCs w:val="24"/>
    </w:rPr>
  </w:style>
  <w:style w:type="character" w:customStyle="1" w:styleId="BodyTextIndentChar">
    <w:name w:val="Body Text Indent Char"/>
    <w:link w:val="BodyTextIndent0"/>
    <w:uiPriority w:val="99"/>
    <w:semiHidden/>
    <w:locked/>
    <w:rsid w:val="00485D7B"/>
    <w:rPr>
      <w:rFonts w:ascii="Arial" w:hAnsi="Arial" w:cs="Times New Roman"/>
      <w:sz w:val="24"/>
      <w:szCs w:val="24"/>
    </w:rPr>
  </w:style>
  <w:style w:type="paragraph" w:styleId="BodyTextFirstIndent2">
    <w:name w:val="Body Text First Indent 2"/>
    <w:basedOn w:val="BodyTextIndent0"/>
    <w:link w:val="BodyTextFirstIndent2Char"/>
    <w:uiPriority w:val="99"/>
    <w:semiHidden/>
    <w:rsid w:val="00485D7B"/>
    <w:pPr>
      <w:ind w:firstLine="210"/>
    </w:pPr>
  </w:style>
  <w:style w:type="character" w:customStyle="1" w:styleId="BodyTextFirstIndent2Char">
    <w:name w:val="Body Text First Indent 2 Char"/>
    <w:basedOn w:val="BodyTextIndentChar"/>
    <w:link w:val="BodyTextFirstIndent2"/>
    <w:uiPriority w:val="99"/>
    <w:semiHidden/>
    <w:locked/>
    <w:rsid w:val="00485D7B"/>
    <w:rPr>
      <w:rFonts w:ascii="Arial" w:hAnsi="Arial" w:cs="Times New Roman"/>
      <w:sz w:val="24"/>
      <w:szCs w:val="24"/>
    </w:rPr>
  </w:style>
  <w:style w:type="paragraph" w:styleId="BodyTextIndent20">
    <w:name w:val="Body Text Indent 2"/>
    <w:basedOn w:val="Normal"/>
    <w:link w:val="BodyTextIndent2Char"/>
    <w:uiPriority w:val="99"/>
    <w:semiHidden/>
    <w:rsid w:val="00485D7B"/>
    <w:pPr>
      <w:spacing w:after="120" w:line="480" w:lineRule="auto"/>
      <w:ind w:left="283"/>
    </w:pPr>
    <w:rPr>
      <w:rFonts w:ascii="Arial" w:hAnsi="Arial"/>
      <w:sz w:val="24"/>
      <w:szCs w:val="24"/>
    </w:rPr>
  </w:style>
  <w:style w:type="character" w:customStyle="1" w:styleId="BodyTextIndent2Char">
    <w:name w:val="Body Text Indent 2 Char"/>
    <w:link w:val="BodyTextIndent20"/>
    <w:uiPriority w:val="99"/>
    <w:semiHidden/>
    <w:locked/>
    <w:rsid w:val="00485D7B"/>
    <w:rPr>
      <w:rFonts w:ascii="Arial" w:hAnsi="Arial" w:cs="Times New Roman"/>
      <w:sz w:val="24"/>
      <w:szCs w:val="24"/>
    </w:rPr>
  </w:style>
  <w:style w:type="paragraph" w:styleId="BodyTextIndent30">
    <w:name w:val="Body Text Indent 3"/>
    <w:basedOn w:val="Normal"/>
    <w:link w:val="BodyTextIndent3Char"/>
    <w:uiPriority w:val="99"/>
    <w:semiHidden/>
    <w:rsid w:val="00485D7B"/>
    <w:pPr>
      <w:spacing w:after="120" w:line="240" w:lineRule="auto"/>
      <w:ind w:left="283"/>
    </w:pPr>
    <w:rPr>
      <w:rFonts w:ascii="Arial" w:hAnsi="Arial"/>
      <w:sz w:val="16"/>
      <w:szCs w:val="16"/>
    </w:rPr>
  </w:style>
  <w:style w:type="character" w:customStyle="1" w:styleId="BodyTextIndent3Char">
    <w:name w:val="Body Text Indent 3 Char"/>
    <w:link w:val="BodyTextIndent30"/>
    <w:uiPriority w:val="99"/>
    <w:semiHidden/>
    <w:locked/>
    <w:rsid w:val="00485D7B"/>
    <w:rPr>
      <w:rFonts w:ascii="Arial" w:hAnsi="Arial" w:cs="Times New Roman"/>
      <w:sz w:val="16"/>
      <w:szCs w:val="16"/>
    </w:rPr>
  </w:style>
  <w:style w:type="paragraph" w:styleId="Closing">
    <w:name w:val="Closing"/>
    <w:basedOn w:val="Normal"/>
    <w:link w:val="ClosingChar"/>
    <w:uiPriority w:val="99"/>
    <w:semiHidden/>
    <w:rsid w:val="00485D7B"/>
    <w:pPr>
      <w:spacing w:after="0" w:line="240" w:lineRule="auto"/>
      <w:ind w:left="4252"/>
    </w:pPr>
    <w:rPr>
      <w:rFonts w:ascii="Arial" w:hAnsi="Arial"/>
      <w:sz w:val="24"/>
      <w:szCs w:val="24"/>
    </w:rPr>
  </w:style>
  <w:style w:type="character" w:customStyle="1" w:styleId="ClosingChar">
    <w:name w:val="Closing Char"/>
    <w:link w:val="Closing"/>
    <w:uiPriority w:val="99"/>
    <w:semiHidden/>
    <w:locked/>
    <w:rsid w:val="00485D7B"/>
    <w:rPr>
      <w:rFonts w:ascii="Arial" w:hAnsi="Arial" w:cs="Times New Roman"/>
      <w:sz w:val="24"/>
      <w:szCs w:val="24"/>
    </w:rPr>
  </w:style>
  <w:style w:type="paragraph" w:styleId="Date">
    <w:name w:val="Date"/>
    <w:basedOn w:val="Normal"/>
    <w:next w:val="Normal"/>
    <w:link w:val="DateChar"/>
    <w:uiPriority w:val="99"/>
    <w:semiHidden/>
    <w:rsid w:val="00485D7B"/>
    <w:pPr>
      <w:spacing w:after="0" w:line="240" w:lineRule="auto"/>
    </w:pPr>
    <w:rPr>
      <w:rFonts w:ascii="Arial" w:hAnsi="Arial"/>
      <w:sz w:val="24"/>
      <w:szCs w:val="24"/>
    </w:rPr>
  </w:style>
  <w:style w:type="character" w:customStyle="1" w:styleId="DateChar">
    <w:name w:val="Date Char"/>
    <w:link w:val="Date"/>
    <w:uiPriority w:val="99"/>
    <w:semiHidden/>
    <w:locked/>
    <w:rsid w:val="00485D7B"/>
    <w:rPr>
      <w:rFonts w:ascii="Arial" w:hAnsi="Arial" w:cs="Times New Roman"/>
      <w:sz w:val="24"/>
      <w:szCs w:val="24"/>
    </w:rPr>
  </w:style>
  <w:style w:type="paragraph" w:styleId="E-mailSignature">
    <w:name w:val="E-mail Signature"/>
    <w:basedOn w:val="Normal"/>
    <w:link w:val="E-mailSignatureChar"/>
    <w:uiPriority w:val="99"/>
    <w:semiHidden/>
    <w:rsid w:val="00485D7B"/>
    <w:pPr>
      <w:spacing w:after="0" w:line="240" w:lineRule="auto"/>
    </w:pPr>
    <w:rPr>
      <w:rFonts w:ascii="Arial" w:hAnsi="Arial"/>
      <w:sz w:val="24"/>
      <w:szCs w:val="24"/>
    </w:rPr>
  </w:style>
  <w:style w:type="character" w:customStyle="1" w:styleId="E-mailSignatureChar">
    <w:name w:val="E-mail Signature Char"/>
    <w:link w:val="E-mailSignature"/>
    <w:uiPriority w:val="99"/>
    <w:semiHidden/>
    <w:locked/>
    <w:rsid w:val="00485D7B"/>
    <w:rPr>
      <w:rFonts w:ascii="Arial" w:hAnsi="Arial" w:cs="Times New Roman"/>
      <w:sz w:val="24"/>
      <w:szCs w:val="24"/>
    </w:rPr>
  </w:style>
  <w:style w:type="paragraph" w:styleId="EnvelopeAddress">
    <w:name w:val="envelope address"/>
    <w:basedOn w:val="Normal"/>
    <w:uiPriority w:val="99"/>
    <w:semiHidden/>
    <w:rsid w:val="00485D7B"/>
    <w:pPr>
      <w:framePr w:w="7920" w:h="1980" w:hRule="exact" w:hSpace="180" w:wrap="auto" w:hAnchor="page" w:xAlign="center" w:yAlign="bottom"/>
      <w:spacing w:after="0" w:line="240" w:lineRule="auto"/>
      <w:ind w:left="2880"/>
    </w:pPr>
    <w:rPr>
      <w:rFonts w:ascii="Arial" w:hAnsi="Arial" w:cs="Arial"/>
      <w:sz w:val="24"/>
      <w:szCs w:val="24"/>
    </w:rPr>
  </w:style>
  <w:style w:type="paragraph" w:styleId="EnvelopeReturn">
    <w:name w:val="envelope return"/>
    <w:basedOn w:val="Normal"/>
    <w:uiPriority w:val="99"/>
    <w:semiHidden/>
    <w:rsid w:val="00485D7B"/>
    <w:pPr>
      <w:spacing w:after="0" w:line="240" w:lineRule="auto"/>
    </w:pPr>
    <w:rPr>
      <w:rFonts w:ascii="Arial" w:hAnsi="Arial" w:cs="Arial"/>
      <w:sz w:val="20"/>
      <w:szCs w:val="20"/>
    </w:rPr>
  </w:style>
  <w:style w:type="character" w:styleId="FollowedHyperlink">
    <w:name w:val="FollowedHyperlink"/>
    <w:uiPriority w:val="99"/>
    <w:semiHidden/>
    <w:rsid w:val="00485D7B"/>
    <w:rPr>
      <w:color w:val="800080"/>
      <w:u w:val="single"/>
    </w:rPr>
  </w:style>
  <w:style w:type="character" w:styleId="HTMLAcronym">
    <w:name w:val="HTML Acronym"/>
    <w:basedOn w:val="DefaultParagraphFont"/>
    <w:uiPriority w:val="99"/>
    <w:semiHidden/>
    <w:rsid w:val="00485D7B"/>
  </w:style>
  <w:style w:type="paragraph" w:styleId="HTMLAddress">
    <w:name w:val="HTML Address"/>
    <w:basedOn w:val="Normal"/>
    <w:link w:val="HTMLAddressChar"/>
    <w:uiPriority w:val="99"/>
    <w:semiHidden/>
    <w:rsid w:val="00485D7B"/>
    <w:pPr>
      <w:spacing w:after="0" w:line="240" w:lineRule="auto"/>
    </w:pPr>
    <w:rPr>
      <w:rFonts w:ascii="Arial" w:hAnsi="Arial"/>
      <w:i/>
      <w:iCs/>
      <w:sz w:val="24"/>
      <w:szCs w:val="24"/>
    </w:rPr>
  </w:style>
  <w:style w:type="character" w:customStyle="1" w:styleId="HTMLAddressChar">
    <w:name w:val="HTML Address Char"/>
    <w:link w:val="HTMLAddress"/>
    <w:uiPriority w:val="99"/>
    <w:semiHidden/>
    <w:locked/>
    <w:rsid w:val="00485D7B"/>
    <w:rPr>
      <w:rFonts w:ascii="Arial" w:hAnsi="Arial" w:cs="Times New Roman"/>
      <w:i/>
      <w:iCs/>
      <w:sz w:val="24"/>
      <w:szCs w:val="24"/>
    </w:rPr>
  </w:style>
  <w:style w:type="character" w:styleId="HTMLCite">
    <w:name w:val="HTML Cite"/>
    <w:uiPriority w:val="99"/>
    <w:semiHidden/>
    <w:rsid w:val="00485D7B"/>
    <w:rPr>
      <w:i/>
    </w:rPr>
  </w:style>
  <w:style w:type="character" w:styleId="HTMLCode">
    <w:name w:val="HTML Code"/>
    <w:uiPriority w:val="99"/>
    <w:semiHidden/>
    <w:rsid w:val="00485D7B"/>
    <w:rPr>
      <w:rFonts w:ascii="Courier New" w:hAnsi="Courier New"/>
      <w:sz w:val="20"/>
    </w:rPr>
  </w:style>
  <w:style w:type="character" w:styleId="HTMLDefinition">
    <w:name w:val="HTML Definition"/>
    <w:uiPriority w:val="99"/>
    <w:semiHidden/>
    <w:rsid w:val="00485D7B"/>
    <w:rPr>
      <w:i/>
    </w:rPr>
  </w:style>
  <w:style w:type="character" w:styleId="HTMLKeyboard">
    <w:name w:val="HTML Keyboard"/>
    <w:uiPriority w:val="99"/>
    <w:semiHidden/>
    <w:rsid w:val="00485D7B"/>
    <w:rPr>
      <w:rFonts w:ascii="Courier New" w:hAnsi="Courier New"/>
      <w:sz w:val="20"/>
    </w:rPr>
  </w:style>
  <w:style w:type="paragraph" w:styleId="HTMLPreformatted">
    <w:name w:val="HTML Preformatted"/>
    <w:basedOn w:val="Normal"/>
    <w:link w:val="HTMLPreformattedChar"/>
    <w:uiPriority w:val="99"/>
    <w:semiHidden/>
    <w:rsid w:val="00485D7B"/>
    <w:pPr>
      <w:spacing w:after="0" w:line="240" w:lineRule="auto"/>
    </w:pPr>
    <w:rPr>
      <w:rFonts w:ascii="Courier New" w:hAnsi="Courier New" w:cs="Courier New"/>
      <w:sz w:val="20"/>
      <w:szCs w:val="20"/>
    </w:rPr>
  </w:style>
  <w:style w:type="character" w:customStyle="1" w:styleId="HTMLPreformattedChar">
    <w:name w:val="HTML Preformatted Char"/>
    <w:link w:val="HTMLPreformatted"/>
    <w:uiPriority w:val="99"/>
    <w:semiHidden/>
    <w:locked/>
    <w:rsid w:val="00485D7B"/>
    <w:rPr>
      <w:rFonts w:ascii="Courier New" w:hAnsi="Courier New" w:cs="Courier New"/>
      <w:sz w:val="20"/>
      <w:szCs w:val="20"/>
    </w:rPr>
  </w:style>
  <w:style w:type="character" w:styleId="HTMLSample">
    <w:name w:val="HTML Sample"/>
    <w:uiPriority w:val="99"/>
    <w:semiHidden/>
    <w:rsid w:val="00485D7B"/>
    <w:rPr>
      <w:rFonts w:ascii="Courier New" w:hAnsi="Courier New"/>
    </w:rPr>
  </w:style>
  <w:style w:type="character" w:styleId="HTMLTypewriter">
    <w:name w:val="HTML Typewriter"/>
    <w:uiPriority w:val="99"/>
    <w:semiHidden/>
    <w:rsid w:val="00485D7B"/>
    <w:rPr>
      <w:rFonts w:ascii="Courier New" w:hAnsi="Courier New"/>
      <w:sz w:val="20"/>
    </w:rPr>
  </w:style>
  <w:style w:type="character" w:styleId="HTMLVariable">
    <w:name w:val="HTML Variable"/>
    <w:uiPriority w:val="99"/>
    <w:semiHidden/>
    <w:rsid w:val="00485D7B"/>
    <w:rPr>
      <w:i/>
    </w:rPr>
  </w:style>
  <w:style w:type="character" w:styleId="LineNumber">
    <w:name w:val="line number"/>
    <w:basedOn w:val="DefaultParagraphFont"/>
    <w:uiPriority w:val="99"/>
    <w:semiHidden/>
    <w:rsid w:val="00485D7B"/>
  </w:style>
  <w:style w:type="paragraph" w:customStyle="1" w:styleId="VEOHRCListBullet">
    <w:name w:val="VEOHRC List Bullet"/>
    <w:basedOn w:val="Normal"/>
    <w:uiPriority w:val="99"/>
    <w:qFormat/>
    <w:rsid w:val="00485D7B"/>
    <w:pPr>
      <w:numPr>
        <w:numId w:val="25"/>
      </w:numPr>
      <w:spacing w:after="60" w:line="240" w:lineRule="atLeast"/>
    </w:pPr>
    <w:rPr>
      <w:rFonts w:ascii="Arial" w:hAnsi="Arial"/>
      <w:sz w:val="24"/>
      <w:szCs w:val="24"/>
      <w:lang w:val="en-GB"/>
    </w:rPr>
  </w:style>
  <w:style w:type="paragraph" w:styleId="List3">
    <w:name w:val="List 3"/>
    <w:basedOn w:val="Normal"/>
    <w:uiPriority w:val="99"/>
    <w:semiHidden/>
    <w:rsid w:val="00485D7B"/>
    <w:pPr>
      <w:spacing w:after="0" w:line="240" w:lineRule="auto"/>
      <w:ind w:left="849" w:hanging="283"/>
    </w:pPr>
    <w:rPr>
      <w:rFonts w:ascii="Arial" w:hAnsi="Arial"/>
      <w:sz w:val="24"/>
      <w:szCs w:val="24"/>
    </w:rPr>
  </w:style>
  <w:style w:type="paragraph" w:styleId="List4">
    <w:name w:val="List 4"/>
    <w:basedOn w:val="Normal"/>
    <w:uiPriority w:val="99"/>
    <w:semiHidden/>
    <w:rsid w:val="00485D7B"/>
    <w:pPr>
      <w:spacing w:after="0" w:line="240" w:lineRule="auto"/>
      <w:ind w:left="1132" w:hanging="283"/>
    </w:pPr>
    <w:rPr>
      <w:rFonts w:ascii="Arial" w:hAnsi="Arial"/>
      <w:sz w:val="24"/>
      <w:szCs w:val="24"/>
    </w:rPr>
  </w:style>
  <w:style w:type="paragraph" w:styleId="List5">
    <w:name w:val="List 5"/>
    <w:basedOn w:val="Normal"/>
    <w:uiPriority w:val="99"/>
    <w:semiHidden/>
    <w:rsid w:val="00485D7B"/>
    <w:pPr>
      <w:spacing w:after="0" w:line="240" w:lineRule="auto"/>
      <w:ind w:left="1415" w:hanging="283"/>
    </w:pPr>
    <w:rPr>
      <w:rFonts w:ascii="Arial" w:hAnsi="Arial"/>
      <w:sz w:val="24"/>
      <w:szCs w:val="24"/>
    </w:rPr>
  </w:style>
  <w:style w:type="paragraph" w:styleId="ListBullet4">
    <w:name w:val="List Bullet 4"/>
    <w:basedOn w:val="Normal"/>
    <w:uiPriority w:val="99"/>
    <w:semiHidden/>
    <w:rsid w:val="00485D7B"/>
    <w:pPr>
      <w:numPr>
        <w:numId w:val="18"/>
      </w:numPr>
      <w:spacing w:after="0" w:line="240" w:lineRule="auto"/>
    </w:pPr>
    <w:rPr>
      <w:rFonts w:ascii="Arial" w:hAnsi="Arial"/>
      <w:sz w:val="24"/>
      <w:szCs w:val="24"/>
    </w:rPr>
  </w:style>
  <w:style w:type="paragraph" w:styleId="ListBullet5">
    <w:name w:val="List Bullet 5"/>
    <w:basedOn w:val="Normal"/>
    <w:uiPriority w:val="99"/>
    <w:semiHidden/>
    <w:rsid w:val="00485D7B"/>
    <w:pPr>
      <w:numPr>
        <w:numId w:val="19"/>
      </w:numPr>
      <w:spacing w:after="0" w:line="240" w:lineRule="auto"/>
    </w:pPr>
    <w:rPr>
      <w:rFonts w:ascii="Arial" w:hAnsi="Arial"/>
      <w:sz w:val="24"/>
      <w:szCs w:val="24"/>
    </w:rPr>
  </w:style>
  <w:style w:type="paragraph" w:styleId="ListContinue">
    <w:name w:val="List Continue"/>
    <w:basedOn w:val="Normal"/>
    <w:uiPriority w:val="99"/>
    <w:semiHidden/>
    <w:rsid w:val="00485D7B"/>
    <w:pPr>
      <w:spacing w:after="120" w:line="240" w:lineRule="auto"/>
      <w:ind w:left="283"/>
    </w:pPr>
    <w:rPr>
      <w:rFonts w:ascii="Arial" w:hAnsi="Arial"/>
      <w:sz w:val="24"/>
      <w:szCs w:val="24"/>
    </w:rPr>
  </w:style>
  <w:style w:type="paragraph" w:styleId="ListContinue2">
    <w:name w:val="List Continue 2"/>
    <w:basedOn w:val="Normal"/>
    <w:uiPriority w:val="99"/>
    <w:semiHidden/>
    <w:rsid w:val="00485D7B"/>
    <w:pPr>
      <w:spacing w:after="120" w:line="240" w:lineRule="auto"/>
      <w:ind w:left="566"/>
    </w:pPr>
    <w:rPr>
      <w:rFonts w:ascii="Arial" w:hAnsi="Arial"/>
      <w:sz w:val="24"/>
      <w:szCs w:val="24"/>
    </w:rPr>
  </w:style>
  <w:style w:type="paragraph" w:styleId="ListContinue3">
    <w:name w:val="List Continue 3"/>
    <w:basedOn w:val="Normal"/>
    <w:uiPriority w:val="99"/>
    <w:semiHidden/>
    <w:rsid w:val="00485D7B"/>
    <w:pPr>
      <w:spacing w:after="120" w:line="240" w:lineRule="auto"/>
      <w:ind w:left="849"/>
    </w:pPr>
    <w:rPr>
      <w:rFonts w:ascii="Arial" w:hAnsi="Arial"/>
      <w:sz w:val="24"/>
      <w:szCs w:val="24"/>
    </w:rPr>
  </w:style>
  <w:style w:type="paragraph" w:styleId="ListContinue4">
    <w:name w:val="List Continue 4"/>
    <w:basedOn w:val="Normal"/>
    <w:uiPriority w:val="99"/>
    <w:semiHidden/>
    <w:rsid w:val="00485D7B"/>
    <w:pPr>
      <w:spacing w:after="120" w:line="240" w:lineRule="auto"/>
      <w:ind w:left="1132"/>
    </w:pPr>
    <w:rPr>
      <w:rFonts w:ascii="Arial" w:hAnsi="Arial"/>
      <w:sz w:val="24"/>
      <w:szCs w:val="24"/>
    </w:rPr>
  </w:style>
  <w:style w:type="paragraph" w:styleId="ListContinue5">
    <w:name w:val="List Continue 5"/>
    <w:basedOn w:val="Normal"/>
    <w:uiPriority w:val="99"/>
    <w:semiHidden/>
    <w:rsid w:val="00485D7B"/>
    <w:pPr>
      <w:spacing w:after="120" w:line="240" w:lineRule="auto"/>
      <w:ind w:left="1415"/>
    </w:pPr>
    <w:rPr>
      <w:rFonts w:ascii="Arial" w:hAnsi="Arial"/>
      <w:sz w:val="24"/>
      <w:szCs w:val="24"/>
    </w:rPr>
  </w:style>
  <w:style w:type="paragraph" w:styleId="ListNumber4">
    <w:name w:val="List Number 4"/>
    <w:basedOn w:val="Normal"/>
    <w:uiPriority w:val="99"/>
    <w:semiHidden/>
    <w:rsid w:val="00485D7B"/>
    <w:pPr>
      <w:numPr>
        <w:numId w:val="20"/>
      </w:numPr>
      <w:spacing w:after="0" w:line="240" w:lineRule="auto"/>
    </w:pPr>
    <w:rPr>
      <w:rFonts w:ascii="Arial" w:hAnsi="Arial"/>
      <w:sz w:val="24"/>
      <w:szCs w:val="24"/>
    </w:rPr>
  </w:style>
  <w:style w:type="paragraph" w:styleId="ListNumber5">
    <w:name w:val="List Number 5"/>
    <w:basedOn w:val="Normal"/>
    <w:uiPriority w:val="99"/>
    <w:semiHidden/>
    <w:rsid w:val="00485D7B"/>
    <w:pPr>
      <w:numPr>
        <w:numId w:val="21"/>
      </w:numPr>
      <w:spacing w:after="0" w:line="240" w:lineRule="auto"/>
    </w:pPr>
    <w:rPr>
      <w:rFonts w:ascii="Arial" w:hAnsi="Arial"/>
      <w:sz w:val="24"/>
      <w:szCs w:val="24"/>
    </w:rPr>
  </w:style>
  <w:style w:type="paragraph" w:styleId="MessageHeader">
    <w:name w:val="Message Header"/>
    <w:basedOn w:val="Normal"/>
    <w:link w:val="MessageHeaderChar"/>
    <w:uiPriority w:val="99"/>
    <w:semiHidden/>
    <w:rsid w:val="00485D7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cs="Arial"/>
      <w:sz w:val="24"/>
      <w:szCs w:val="24"/>
    </w:rPr>
  </w:style>
  <w:style w:type="character" w:customStyle="1" w:styleId="MessageHeaderChar">
    <w:name w:val="Message Header Char"/>
    <w:link w:val="MessageHeader"/>
    <w:uiPriority w:val="99"/>
    <w:semiHidden/>
    <w:locked/>
    <w:rsid w:val="00485D7B"/>
    <w:rPr>
      <w:rFonts w:ascii="Arial" w:hAnsi="Arial" w:cs="Arial"/>
      <w:sz w:val="24"/>
      <w:szCs w:val="24"/>
      <w:shd w:val="pct20" w:color="auto" w:fill="auto"/>
    </w:rPr>
  </w:style>
  <w:style w:type="paragraph" w:styleId="NormalWeb">
    <w:name w:val="Normal (Web)"/>
    <w:basedOn w:val="Normal"/>
    <w:uiPriority w:val="99"/>
    <w:rsid w:val="00485D7B"/>
    <w:pPr>
      <w:spacing w:after="0" w:line="240" w:lineRule="auto"/>
    </w:pPr>
    <w:rPr>
      <w:rFonts w:ascii="Arial" w:hAnsi="Arial"/>
      <w:sz w:val="24"/>
      <w:szCs w:val="24"/>
    </w:rPr>
  </w:style>
  <w:style w:type="paragraph" w:styleId="NormalIndent">
    <w:name w:val="Normal Indent"/>
    <w:basedOn w:val="Normal"/>
    <w:uiPriority w:val="99"/>
    <w:semiHidden/>
    <w:rsid w:val="00485D7B"/>
    <w:pPr>
      <w:spacing w:after="0" w:line="240" w:lineRule="auto"/>
      <w:ind w:left="720"/>
    </w:pPr>
    <w:rPr>
      <w:rFonts w:ascii="Arial" w:hAnsi="Arial"/>
      <w:sz w:val="24"/>
      <w:szCs w:val="24"/>
    </w:rPr>
  </w:style>
  <w:style w:type="paragraph" w:styleId="NoteHeading">
    <w:name w:val="Note Heading"/>
    <w:basedOn w:val="Normal"/>
    <w:next w:val="Normal"/>
    <w:link w:val="NoteHeadingChar"/>
    <w:uiPriority w:val="99"/>
    <w:semiHidden/>
    <w:rsid w:val="00485D7B"/>
    <w:pPr>
      <w:spacing w:after="0" w:line="240" w:lineRule="auto"/>
    </w:pPr>
    <w:rPr>
      <w:rFonts w:ascii="Arial" w:hAnsi="Arial"/>
      <w:sz w:val="24"/>
      <w:szCs w:val="24"/>
    </w:rPr>
  </w:style>
  <w:style w:type="character" w:customStyle="1" w:styleId="NoteHeadingChar">
    <w:name w:val="Note Heading Char"/>
    <w:link w:val="NoteHeading"/>
    <w:uiPriority w:val="99"/>
    <w:semiHidden/>
    <w:locked/>
    <w:rsid w:val="00485D7B"/>
    <w:rPr>
      <w:rFonts w:ascii="Arial" w:hAnsi="Arial" w:cs="Times New Roman"/>
      <w:sz w:val="24"/>
      <w:szCs w:val="24"/>
    </w:rPr>
  </w:style>
  <w:style w:type="paragraph" w:styleId="PlainText">
    <w:name w:val="Plain Text"/>
    <w:basedOn w:val="Normal"/>
    <w:link w:val="PlainTextChar"/>
    <w:uiPriority w:val="99"/>
    <w:semiHidden/>
    <w:rsid w:val="00485D7B"/>
    <w:pPr>
      <w:spacing w:after="0" w:line="240" w:lineRule="auto"/>
    </w:pPr>
    <w:rPr>
      <w:rFonts w:ascii="Courier New" w:hAnsi="Courier New" w:cs="Courier New"/>
      <w:sz w:val="20"/>
      <w:szCs w:val="20"/>
    </w:rPr>
  </w:style>
  <w:style w:type="character" w:customStyle="1" w:styleId="PlainTextChar">
    <w:name w:val="Plain Text Char"/>
    <w:link w:val="PlainText"/>
    <w:uiPriority w:val="99"/>
    <w:semiHidden/>
    <w:locked/>
    <w:rsid w:val="00485D7B"/>
    <w:rPr>
      <w:rFonts w:ascii="Courier New" w:hAnsi="Courier New" w:cs="Courier New"/>
      <w:sz w:val="20"/>
      <w:szCs w:val="20"/>
    </w:rPr>
  </w:style>
  <w:style w:type="paragraph" w:styleId="Salutation">
    <w:name w:val="Salutation"/>
    <w:basedOn w:val="Normal"/>
    <w:next w:val="Normal"/>
    <w:link w:val="SalutationChar"/>
    <w:uiPriority w:val="99"/>
    <w:semiHidden/>
    <w:rsid w:val="00485D7B"/>
    <w:pPr>
      <w:spacing w:after="0" w:line="240" w:lineRule="auto"/>
    </w:pPr>
    <w:rPr>
      <w:rFonts w:ascii="Arial" w:hAnsi="Arial"/>
      <w:sz w:val="24"/>
      <w:szCs w:val="24"/>
    </w:rPr>
  </w:style>
  <w:style w:type="character" w:customStyle="1" w:styleId="SalutationChar">
    <w:name w:val="Salutation Char"/>
    <w:link w:val="Salutation"/>
    <w:uiPriority w:val="99"/>
    <w:semiHidden/>
    <w:locked/>
    <w:rsid w:val="00485D7B"/>
    <w:rPr>
      <w:rFonts w:ascii="Arial" w:hAnsi="Arial" w:cs="Times New Roman"/>
      <w:sz w:val="24"/>
      <w:szCs w:val="24"/>
    </w:rPr>
  </w:style>
  <w:style w:type="paragraph" w:styleId="Signature">
    <w:name w:val="Signature"/>
    <w:basedOn w:val="Normal"/>
    <w:link w:val="SignatureChar"/>
    <w:uiPriority w:val="99"/>
    <w:semiHidden/>
    <w:rsid w:val="00485D7B"/>
    <w:pPr>
      <w:spacing w:after="0" w:line="240" w:lineRule="auto"/>
      <w:ind w:left="4252"/>
    </w:pPr>
    <w:rPr>
      <w:rFonts w:ascii="Arial" w:hAnsi="Arial"/>
      <w:sz w:val="24"/>
      <w:szCs w:val="24"/>
    </w:rPr>
  </w:style>
  <w:style w:type="character" w:customStyle="1" w:styleId="SignatureChar">
    <w:name w:val="Signature Char"/>
    <w:link w:val="Signature"/>
    <w:uiPriority w:val="99"/>
    <w:semiHidden/>
    <w:locked/>
    <w:rsid w:val="00485D7B"/>
    <w:rPr>
      <w:rFonts w:ascii="Arial" w:hAnsi="Arial" w:cs="Times New Roman"/>
      <w:sz w:val="24"/>
      <w:szCs w:val="24"/>
    </w:rPr>
  </w:style>
  <w:style w:type="character" w:styleId="Strong">
    <w:name w:val="Strong"/>
    <w:uiPriority w:val="22"/>
    <w:qFormat/>
    <w:rsid w:val="00485D7B"/>
    <w:rPr>
      <w:b/>
    </w:rPr>
  </w:style>
  <w:style w:type="table" w:styleId="Table3Deffects1">
    <w:name w:val="Table 3D effects 1"/>
    <w:basedOn w:val="TableNormal"/>
    <w:uiPriority w:val="99"/>
    <w:semiHidden/>
    <w:rsid w:val="00485D7B"/>
    <w:rPr>
      <w:rFonts w:ascii="Arial" w:hAnsi="Arial"/>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485D7B"/>
    <w:rPr>
      <w:rFonts w:ascii="Arial" w:hAnsi="Arial"/>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485D7B"/>
    <w:rPr>
      <w:rFonts w:ascii="Arial" w:hAnsi="Arial"/>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485D7B"/>
    <w:rPr>
      <w:rFonts w:ascii="Arial" w:hAnsi="Arial"/>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485D7B"/>
    <w:rPr>
      <w:rFonts w:ascii="Arial" w:hAnsi="Arial"/>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485D7B"/>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485D7B"/>
    <w:rPr>
      <w:rFonts w:ascii="Arial" w:hAnsi="Arial"/>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485D7B"/>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485D7B"/>
    <w:rPr>
      <w:rFonts w:ascii="Arial" w:hAnsi="Arial"/>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485D7B"/>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485D7B"/>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485D7B"/>
    <w:rPr>
      <w:rFonts w:ascii="Arial" w:hAnsi="Arial"/>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485D7B"/>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485D7B"/>
    <w:rPr>
      <w:rFonts w:ascii="Arial" w:hAnsi="Arial"/>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485D7B"/>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485D7B"/>
    <w:rPr>
      <w:rFonts w:ascii="Arial" w:hAnsi="Arial"/>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485D7B"/>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485D7B"/>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485D7B"/>
    <w:rPr>
      <w:rFonts w:ascii="Arial" w:hAnsi="Arial"/>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485D7B"/>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485D7B"/>
    <w:rPr>
      <w:rFonts w:ascii="Arial" w:hAnsi="Arial"/>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485D7B"/>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485D7B"/>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485D7B"/>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485D7B"/>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485D7B"/>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485D7B"/>
    <w:rPr>
      <w:rFonts w:ascii="Arial" w:hAnsi="Arial"/>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485D7B"/>
    <w:rPr>
      <w:rFonts w:ascii="Arial" w:hAnsi="Arial"/>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485D7B"/>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485D7B"/>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485D7B"/>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485D7B"/>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485D7B"/>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485D7B"/>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485D7B"/>
    <w:rPr>
      <w:rFonts w:ascii="Arial" w:hAnsi="Arial"/>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485D7B"/>
    <w:rPr>
      <w:rFonts w:ascii="Arial" w:hAnsi="Arial"/>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485D7B"/>
    <w:rPr>
      <w:rFonts w:ascii="Arial" w:hAnsi="Arial"/>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485D7B"/>
    <w:rPr>
      <w:rFonts w:ascii="Arial" w:hAnsi="Arial"/>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485D7B"/>
    <w:rPr>
      <w:rFonts w:ascii="Arial" w:hAnsi="Arial"/>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485D7B"/>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485D7B"/>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485D7B"/>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485D7B"/>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List">
    <w:name w:val="List"/>
    <w:basedOn w:val="Normal"/>
    <w:uiPriority w:val="99"/>
    <w:semiHidden/>
    <w:rsid w:val="00485D7B"/>
    <w:pPr>
      <w:spacing w:after="0" w:line="240" w:lineRule="auto"/>
      <w:ind w:left="283" w:hanging="283"/>
    </w:pPr>
    <w:rPr>
      <w:rFonts w:ascii="Arial" w:hAnsi="Arial"/>
      <w:sz w:val="24"/>
      <w:szCs w:val="24"/>
    </w:rPr>
  </w:style>
  <w:style w:type="paragraph" w:customStyle="1" w:styleId="VEOHRCFootnotetext">
    <w:name w:val="VEOHRC Footnote text"/>
    <w:basedOn w:val="Normal"/>
    <w:rsid w:val="00485D7B"/>
    <w:pPr>
      <w:spacing w:after="0" w:line="200" w:lineRule="atLeast"/>
    </w:pPr>
    <w:rPr>
      <w:rFonts w:ascii="Arial" w:hAnsi="Arial"/>
      <w:sz w:val="20"/>
      <w:szCs w:val="20"/>
    </w:rPr>
  </w:style>
  <w:style w:type="paragraph" w:customStyle="1" w:styleId="VEOHRCQuotation">
    <w:name w:val="VEOHRC Quotation"/>
    <w:basedOn w:val="Normal"/>
    <w:qFormat/>
    <w:rsid w:val="00485D7B"/>
    <w:pPr>
      <w:spacing w:before="120" w:after="120" w:line="240" w:lineRule="auto"/>
      <w:ind w:left="720" w:right="788"/>
    </w:pPr>
    <w:rPr>
      <w:rFonts w:ascii="Arial" w:hAnsi="Arial" w:cs="Arial"/>
      <w:sz w:val="24"/>
      <w:szCs w:val="24"/>
      <w:lang w:val="en-GB"/>
    </w:rPr>
  </w:style>
  <w:style w:type="paragraph" w:styleId="List2">
    <w:name w:val="List 2"/>
    <w:basedOn w:val="Normal"/>
    <w:uiPriority w:val="99"/>
    <w:semiHidden/>
    <w:rsid w:val="00485D7B"/>
    <w:pPr>
      <w:spacing w:after="0" w:line="240" w:lineRule="auto"/>
      <w:ind w:left="566" w:hanging="283"/>
    </w:pPr>
    <w:rPr>
      <w:rFonts w:ascii="Arial" w:hAnsi="Arial"/>
      <w:sz w:val="24"/>
      <w:szCs w:val="24"/>
    </w:rPr>
  </w:style>
  <w:style w:type="paragraph" w:customStyle="1" w:styleId="VEOHRCHeading1">
    <w:name w:val="VEOHRC Heading 1"/>
    <w:basedOn w:val="Heading1"/>
    <w:link w:val="VEOHRCHeading1Char"/>
    <w:uiPriority w:val="99"/>
    <w:qFormat/>
    <w:rsid w:val="00485D7B"/>
    <w:pPr>
      <w:spacing w:before="300"/>
      <w:contextualSpacing w:val="0"/>
    </w:pPr>
    <w:rPr>
      <w:rFonts w:cs="Times New Roman"/>
      <w:b/>
      <w:kern w:val="32"/>
      <w:sz w:val="36"/>
      <w:lang w:val="en-GB"/>
    </w:rPr>
  </w:style>
  <w:style w:type="paragraph" w:customStyle="1" w:styleId="VEOHRCBodytext">
    <w:name w:val="VEOHRC Body text"/>
    <w:link w:val="VEOHRCBodytextChar"/>
    <w:qFormat/>
    <w:rsid w:val="00485D7B"/>
    <w:pPr>
      <w:tabs>
        <w:tab w:val="left" w:pos="2640"/>
      </w:tabs>
      <w:spacing w:before="80" w:after="120"/>
    </w:pPr>
    <w:rPr>
      <w:rFonts w:ascii="Arial" w:hAnsi="Arial"/>
      <w:sz w:val="24"/>
      <w:szCs w:val="24"/>
      <w:lang w:val="en-GB"/>
    </w:rPr>
  </w:style>
  <w:style w:type="paragraph" w:customStyle="1" w:styleId="VEOHRCChapterTitle">
    <w:name w:val="VEOHRC Chapter Title"/>
    <w:basedOn w:val="Normal"/>
    <w:qFormat/>
    <w:rsid w:val="00485D7B"/>
    <w:pPr>
      <w:spacing w:after="120" w:line="360" w:lineRule="atLeast"/>
    </w:pPr>
    <w:rPr>
      <w:rFonts w:ascii="Arial" w:hAnsi="Arial"/>
      <w:sz w:val="48"/>
      <w:szCs w:val="24"/>
      <w:lang w:val="en-GB"/>
    </w:rPr>
  </w:style>
  <w:style w:type="paragraph" w:customStyle="1" w:styleId="VEOHRCHeading2">
    <w:name w:val="VEOHRC Heading 2"/>
    <w:qFormat/>
    <w:rsid w:val="00485D7B"/>
    <w:pPr>
      <w:keepNext/>
      <w:spacing w:before="240" w:line="280" w:lineRule="atLeast"/>
    </w:pPr>
    <w:rPr>
      <w:rFonts w:ascii="Arial" w:hAnsi="Arial" w:cs="Arial"/>
      <w:bCs/>
      <w:iCs/>
      <w:sz w:val="28"/>
      <w:szCs w:val="28"/>
      <w:lang w:val="en-GB"/>
    </w:rPr>
  </w:style>
  <w:style w:type="paragraph" w:customStyle="1" w:styleId="VEOHRCHeading3">
    <w:name w:val="VEOHRC Heading 3"/>
    <w:basedOn w:val="Heading3"/>
    <w:next w:val="Normal"/>
    <w:link w:val="VEOHRCHeading3Char"/>
    <w:uiPriority w:val="99"/>
    <w:qFormat/>
    <w:rsid w:val="00485D7B"/>
    <w:pPr>
      <w:spacing w:before="180" w:line="240" w:lineRule="atLeast"/>
      <w:contextualSpacing w:val="0"/>
    </w:pPr>
    <w:rPr>
      <w:b/>
      <w:bCs/>
      <w:sz w:val="24"/>
      <w:lang w:val="en-GB"/>
    </w:rPr>
  </w:style>
  <w:style w:type="paragraph" w:customStyle="1" w:styleId="VEOHRCHeading4">
    <w:name w:val="VEOHRC Heading 4"/>
    <w:basedOn w:val="Heading4"/>
    <w:qFormat/>
    <w:rsid w:val="00485D7B"/>
    <w:pPr>
      <w:spacing w:before="120" w:line="240" w:lineRule="auto"/>
      <w:contextualSpacing w:val="0"/>
    </w:pPr>
    <w:rPr>
      <w:rFonts w:cs="Times New Roman"/>
      <w:b w:val="0"/>
      <w:bCs/>
      <w:i/>
      <w:szCs w:val="28"/>
      <w:lang w:val="en-GB"/>
    </w:rPr>
  </w:style>
  <w:style w:type="paragraph" w:customStyle="1" w:styleId="VEOHRCFootnotereference">
    <w:name w:val="VEOHRC Footnote reference"/>
    <w:basedOn w:val="FootnoteText"/>
    <w:link w:val="VEOHRCFootnotereferenceChar"/>
    <w:rsid w:val="00485D7B"/>
    <w:pPr>
      <w:spacing w:after="0"/>
      <w:ind w:left="0" w:firstLine="0"/>
    </w:pPr>
    <w:rPr>
      <w:sz w:val="20"/>
      <w:vertAlign w:val="superscript"/>
    </w:rPr>
  </w:style>
  <w:style w:type="character" w:customStyle="1" w:styleId="VEOHRCFootnotereferenceChar">
    <w:name w:val="VEOHRC Footnote reference Char"/>
    <w:link w:val="VEOHRCFootnotereference"/>
    <w:locked/>
    <w:rsid w:val="00485D7B"/>
    <w:rPr>
      <w:rFonts w:ascii="Arial" w:hAnsi="Arial"/>
      <w:sz w:val="24"/>
      <w:vertAlign w:val="superscript"/>
    </w:rPr>
  </w:style>
  <w:style w:type="paragraph" w:customStyle="1" w:styleId="VEOHRCNumberedlist">
    <w:name w:val="VEOHRC Numbered list"/>
    <w:basedOn w:val="VEOHRCListBullet"/>
    <w:qFormat/>
    <w:rsid w:val="00485D7B"/>
    <w:pPr>
      <w:numPr>
        <w:numId w:val="51"/>
      </w:numPr>
      <w:tabs>
        <w:tab w:val="num" w:pos="850"/>
      </w:tabs>
      <w:ind w:hanging="850"/>
    </w:pPr>
  </w:style>
  <w:style w:type="paragraph" w:customStyle="1" w:styleId="VEOHRCsubhead">
    <w:name w:val="VEOHRC &gt; subhead"/>
    <w:basedOn w:val="VEOHRCBodytext"/>
    <w:rsid w:val="00485D7B"/>
    <w:rPr>
      <w:sz w:val="28"/>
    </w:rPr>
  </w:style>
  <w:style w:type="paragraph" w:styleId="TOC5">
    <w:name w:val="toc 5"/>
    <w:basedOn w:val="Normal"/>
    <w:next w:val="Normal"/>
    <w:autoRedefine/>
    <w:uiPriority w:val="39"/>
    <w:semiHidden/>
    <w:rsid w:val="00485D7B"/>
    <w:pPr>
      <w:spacing w:after="0" w:line="240" w:lineRule="auto"/>
      <w:ind w:left="720"/>
    </w:pPr>
    <w:rPr>
      <w:rFonts w:ascii="Times New Roman" w:hAnsi="Times New Roman"/>
      <w:sz w:val="20"/>
      <w:szCs w:val="20"/>
    </w:rPr>
  </w:style>
  <w:style w:type="paragraph" w:styleId="TOC6">
    <w:name w:val="toc 6"/>
    <w:basedOn w:val="Normal"/>
    <w:next w:val="Normal"/>
    <w:autoRedefine/>
    <w:uiPriority w:val="39"/>
    <w:semiHidden/>
    <w:rsid w:val="00485D7B"/>
    <w:pPr>
      <w:spacing w:after="0" w:line="240" w:lineRule="auto"/>
      <w:ind w:left="960"/>
    </w:pPr>
    <w:rPr>
      <w:rFonts w:ascii="Times New Roman" w:hAnsi="Times New Roman"/>
      <w:sz w:val="20"/>
      <w:szCs w:val="20"/>
    </w:rPr>
  </w:style>
  <w:style w:type="paragraph" w:styleId="TOC7">
    <w:name w:val="toc 7"/>
    <w:basedOn w:val="Normal"/>
    <w:next w:val="Normal"/>
    <w:autoRedefine/>
    <w:uiPriority w:val="39"/>
    <w:semiHidden/>
    <w:rsid w:val="00485D7B"/>
    <w:pPr>
      <w:spacing w:after="0" w:line="240" w:lineRule="auto"/>
      <w:ind w:left="1200"/>
    </w:pPr>
    <w:rPr>
      <w:rFonts w:ascii="Times New Roman" w:hAnsi="Times New Roman"/>
      <w:sz w:val="20"/>
      <w:szCs w:val="20"/>
    </w:rPr>
  </w:style>
  <w:style w:type="paragraph" w:styleId="TOC8">
    <w:name w:val="toc 8"/>
    <w:basedOn w:val="Normal"/>
    <w:next w:val="Normal"/>
    <w:autoRedefine/>
    <w:uiPriority w:val="39"/>
    <w:semiHidden/>
    <w:rsid w:val="00485D7B"/>
    <w:pPr>
      <w:spacing w:after="0" w:line="240" w:lineRule="auto"/>
      <w:ind w:left="1440"/>
    </w:pPr>
    <w:rPr>
      <w:rFonts w:ascii="Times New Roman" w:hAnsi="Times New Roman"/>
      <w:sz w:val="20"/>
      <w:szCs w:val="20"/>
    </w:rPr>
  </w:style>
  <w:style w:type="paragraph" w:styleId="TOC9">
    <w:name w:val="toc 9"/>
    <w:basedOn w:val="Normal"/>
    <w:next w:val="Normal"/>
    <w:autoRedefine/>
    <w:uiPriority w:val="39"/>
    <w:semiHidden/>
    <w:rsid w:val="00485D7B"/>
    <w:pPr>
      <w:spacing w:after="0" w:line="240" w:lineRule="auto"/>
      <w:ind w:left="1680"/>
    </w:pPr>
    <w:rPr>
      <w:rFonts w:ascii="Times New Roman" w:hAnsi="Times New Roman"/>
      <w:sz w:val="20"/>
      <w:szCs w:val="20"/>
    </w:rPr>
  </w:style>
  <w:style w:type="paragraph" w:customStyle="1" w:styleId="VEOHRCTOC1">
    <w:name w:val="VEOHRC TOC1"/>
    <w:basedOn w:val="TOC1"/>
    <w:rsid w:val="00485D7B"/>
    <w:pPr>
      <w:tabs>
        <w:tab w:val="clear" w:pos="680"/>
        <w:tab w:val="clear" w:pos="9017"/>
        <w:tab w:val="right" w:pos="9072"/>
      </w:tabs>
      <w:ind w:left="0" w:right="0" w:firstLine="0"/>
    </w:pPr>
    <w:rPr>
      <w:rFonts w:cs="Arial"/>
      <w:bCs/>
      <w:caps/>
      <w:noProof/>
    </w:rPr>
  </w:style>
  <w:style w:type="paragraph" w:customStyle="1" w:styleId="VEOHRCTOC2">
    <w:name w:val="VEOHRC TOC 2"/>
    <w:basedOn w:val="TOC2"/>
    <w:rsid w:val="00485D7B"/>
    <w:pPr>
      <w:tabs>
        <w:tab w:val="clear" w:pos="680"/>
        <w:tab w:val="clear" w:pos="9017"/>
        <w:tab w:val="left" w:pos="720"/>
        <w:tab w:val="right" w:leader="dot" w:pos="9060"/>
      </w:tabs>
      <w:ind w:right="0"/>
    </w:pPr>
    <w:rPr>
      <w:bCs/>
      <w:noProof/>
    </w:rPr>
  </w:style>
  <w:style w:type="paragraph" w:customStyle="1" w:styleId="VEOHRCTOC3">
    <w:name w:val="VEOHRC TOC 3"/>
    <w:basedOn w:val="TOC3"/>
    <w:rsid w:val="00485D7B"/>
    <w:pPr>
      <w:tabs>
        <w:tab w:val="clear" w:pos="680"/>
        <w:tab w:val="clear" w:pos="9017"/>
        <w:tab w:val="left" w:pos="960"/>
        <w:tab w:val="right" w:leader="dot" w:pos="9060"/>
      </w:tabs>
      <w:spacing w:before="60" w:after="0"/>
      <w:ind w:left="238" w:right="0"/>
    </w:pPr>
    <w:rPr>
      <w:noProof/>
    </w:rPr>
  </w:style>
  <w:style w:type="paragraph" w:customStyle="1" w:styleId="BodyText1">
    <w:name w:val="Body Text1"/>
    <w:semiHidden/>
    <w:rsid w:val="00485D7B"/>
    <w:pPr>
      <w:tabs>
        <w:tab w:val="left" w:pos="567"/>
        <w:tab w:val="left" w:pos="1134"/>
      </w:tabs>
      <w:spacing w:after="170" w:line="280" w:lineRule="atLeast"/>
    </w:pPr>
    <w:rPr>
      <w:rFonts w:ascii="Times" w:hAnsi="Times"/>
      <w:sz w:val="24"/>
      <w:szCs w:val="24"/>
      <w:lang w:eastAsia="en-US"/>
    </w:rPr>
  </w:style>
  <w:style w:type="paragraph" w:customStyle="1" w:styleId="bull">
    <w:name w:val="bull"/>
    <w:basedOn w:val="Normal"/>
    <w:semiHidden/>
    <w:rsid w:val="00485D7B"/>
    <w:pPr>
      <w:tabs>
        <w:tab w:val="num" w:pos="851"/>
      </w:tabs>
      <w:spacing w:after="0" w:line="300" w:lineRule="atLeast"/>
      <w:ind w:right="237"/>
    </w:pPr>
    <w:rPr>
      <w:rFonts w:ascii="Arial" w:hAnsi="Arial"/>
      <w:sz w:val="21"/>
      <w:szCs w:val="20"/>
      <w:lang w:eastAsia="en-US"/>
    </w:rPr>
  </w:style>
  <w:style w:type="paragraph" w:customStyle="1" w:styleId="Bullet">
    <w:name w:val="Bullet"/>
    <w:basedOn w:val="BodyText1"/>
    <w:semiHidden/>
    <w:rsid w:val="00485D7B"/>
    <w:pPr>
      <w:numPr>
        <w:numId w:val="26"/>
      </w:numPr>
      <w:tabs>
        <w:tab w:val="clear" w:pos="567"/>
        <w:tab w:val="clear" w:pos="1134"/>
      </w:tabs>
      <w:spacing w:after="60" w:line="240" w:lineRule="auto"/>
    </w:pPr>
    <w:rPr>
      <w:rFonts w:ascii="Times New Roman" w:hAnsi="Times New Roman"/>
    </w:rPr>
  </w:style>
  <w:style w:type="paragraph" w:customStyle="1" w:styleId="Bullet2">
    <w:name w:val="Bullet 2"/>
    <w:basedOn w:val="Bullet"/>
    <w:semiHidden/>
    <w:rsid w:val="00485D7B"/>
    <w:pPr>
      <w:numPr>
        <w:numId w:val="27"/>
      </w:numPr>
      <w:tabs>
        <w:tab w:val="num" w:pos="720"/>
        <w:tab w:val="left" w:pos="993"/>
      </w:tabs>
    </w:pPr>
  </w:style>
  <w:style w:type="paragraph" w:customStyle="1" w:styleId="bullet3">
    <w:name w:val="bullet 3"/>
    <w:basedOn w:val="Normal"/>
    <w:semiHidden/>
    <w:rsid w:val="00485D7B"/>
    <w:pPr>
      <w:numPr>
        <w:ilvl w:val="1"/>
        <w:numId w:val="27"/>
      </w:numPr>
      <w:spacing w:after="0" w:line="240" w:lineRule="auto"/>
    </w:pPr>
    <w:rPr>
      <w:rFonts w:ascii="Times New Roman" w:hAnsi="Times New Roman"/>
      <w:sz w:val="24"/>
      <w:szCs w:val="20"/>
      <w:lang w:eastAsia="en-US"/>
    </w:rPr>
  </w:style>
  <w:style w:type="paragraph" w:customStyle="1" w:styleId="bullets">
    <w:name w:val="bullets"/>
    <w:basedOn w:val="BodyTextFirstIndent"/>
    <w:semiHidden/>
    <w:rsid w:val="00485D7B"/>
    <w:pPr>
      <w:numPr>
        <w:ilvl w:val="1"/>
        <w:numId w:val="28"/>
      </w:numPr>
      <w:spacing w:before="240"/>
    </w:pPr>
    <w:rPr>
      <w:rFonts w:ascii="Times New Roman" w:hAnsi="Times New Roman"/>
      <w:noProof/>
      <w:szCs w:val="20"/>
      <w:lang w:eastAsia="en-US"/>
    </w:rPr>
  </w:style>
  <w:style w:type="paragraph" w:customStyle="1" w:styleId="charttext">
    <w:name w:val="chart text"/>
    <w:basedOn w:val="Normal"/>
    <w:semiHidden/>
    <w:rsid w:val="00485D7B"/>
    <w:pPr>
      <w:spacing w:after="0" w:line="300" w:lineRule="atLeast"/>
      <w:jc w:val="center"/>
    </w:pPr>
    <w:rPr>
      <w:rFonts w:ascii="Arial" w:hAnsi="Arial"/>
      <w:noProof/>
      <w:sz w:val="20"/>
      <w:szCs w:val="20"/>
      <w:lang w:eastAsia="en-US"/>
    </w:rPr>
  </w:style>
  <w:style w:type="paragraph" w:customStyle="1" w:styleId="charttextind">
    <w:name w:val="chart text ind"/>
    <w:basedOn w:val="charttext"/>
    <w:semiHidden/>
    <w:rsid w:val="00485D7B"/>
    <w:pPr>
      <w:ind w:left="284" w:hanging="284"/>
      <w:jc w:val="left"/>
    </w:pPr>
  </w:style>
  <w:style w:type="character" w:styleId="CommentReference">
    <w:name w:val="annotation reference"/>
    <w:uiPriority w:val="99"/>
    <w:semiHidden/>
    <w:rsid w:val="00485D7B"/>
    <w:rPr>
      <w:sz w:val="16"/>
    </w:rPr>
  </w:style>
  <w:style w:type="paragraph" w:styleId="CommentText">
    <w:name w:val="annotation text"/>
    <w:basedOn w:val="Normal"/>
    <w:link w:val="CommentTextChar"/>
    <w:uiPriority w:val="99"/>
    <w:semiHidden/>
    <w:rsid w:val="00485D7B"/>
    <w:pPr>
      <w:spacing w:after="0" w:line="240" w:lineRule="auto"/>
    </w:pPr>
    <w:rPr>
      <w:rFonts w:ascii="Times New Roman" w:hAnsi="Times New Roman"/>
      <w:sz w:val="20"/>
      <w:szCs w:val="20"/>
      <w:lang w:eastAsia="en-US"/>
    </w:rPr>
  </w:style>
  <w:style w:type="character" w:customStyle="1" w:styleId="CommentTextChar">
    <w:name w:val="Comment Text Char"/>
    <w:link w:val="CommentText"/>
    <w:uiPriority w:val="99"/>
    <w:semiHidden/>
    <w:locked/>
    <w:rsid w:val="00485D7B"/>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uiPriority w:val="99"/>
    <w:semiHidden/>
    <w:rsid w:val="00485D7B"/>
    <w:rPr>
      <w:b/>
      <w:bCs/>
    </w:rPr>
  </w:style>
  <w:style w:type="character" w:customStyle="1" w:styleId="CommentSubjectChar">
    <w:name w:val="Comment Subject Char"/>
    <w:link w:val="CommentSubject"/>
    <w:uiPriority w:val="99"/>
    <w:semiHidden/>
    <w:locked/>
    <w:rsid w:val="00485D7B"/>
    <w:rPr>
      <w:rFonts w:ascii="Times New Roman" w:hAnsi="Times New Roman" w:cs="Times New Roman"/>
      <w:b/>
      <w:bCs/>
      <w:sz w:val="20"/>
      <w:szCs w:val="20"/>
      <w:lang w:val="x-none" w:eastAsia="en-US"/>
    </w:rPr>
  </w:style>
  <w:style w:type="paragraph" w:styleId="DocumentMap">
    <w:name w:val="Document Map"/>
    <w:basedOn w:val="Normal"/>
    <w:link w:val="DocumentMapChar"/>
    <w:uiPriority w:val="99"/>
    <w:semiHidden/>
    <w:rsid w:val="00485D7B"/>
    <w:pPr>
      <w:shd w:val="clear" w:color="auto" w:fill="000080"/>
      <w:spacing w:after="0" w:line="240" w:lineRule="auto"/>
    </w:pPr>
    <w:rPr>
      <w:rFonts w:ascii="Tahoma" w:hAnsi="Tahoma" w:cs="Tahoma"/>
      <w:sz w:val="24"/>
      <w:szCs w:val="20"/>
      <w:lang w:eastAsia="en-US"/>
    </w:rPr>
  </w:style>
  <w:style w:type="character" w:customStyle="1" w:styleId="DocumentMapChar">
    <w:name w:val="Document Map Char"/>
    <w:link w:val="DocumentMap"/>
    <w:uiPriority w:val="99"/>
    <w:semiHidden/>
    <w:locked/>
    <w:rsid w:val="00485D7B"/>
    <w:rPr>
      <w:rFonts w:ascii="Tahoma" w:hAnsi="Tahoma" w:cs="Tahoma"/>
      <w:sz w:val="20"/>
      <w:szCs w:val="20"/>
      <w:shd w:val="clear" w:color="auto" w:fill="000080"/>
      <w:lang w:val="x-none" w:eastAsia="en-US"/>
    </w:rPr>
  </w:style>
  <w:style w:type="character" w:customStyle="1" w:styleId="googqs-tidbit-1">
    <w:name w:val="goog_qs-tidbit-1"/>
    <w:semiHidden/>
    <w:rsid w:val="00485D7B"/>
  </w:style>
  <w:style w:type="paragraph" w:customStyle="1" w:styleId="Handoutbreakouttextbox">
    <w:name w:val="Handout breakout text box"/>
    <w:basedOn w:val="Normal"/>
    <w:autoRedefine/>
    <w:semiHidden/>
    <w:rsid w:val="00485D7B"/>
    <w:pPr>
      <w:spacing w:before="60" w:after="120" w:line="260" w:lineRule="exact"/>
      <w:ind w:right="170"/>
    </w:pPr>
    <w:rPr>
      <w:rFonts w:ascii="Arial" w:hAnsi="Arial"/>
      <w:sz w:val="20"/>
      <w:szCs w:val="20"/>
      <w:lang w:eastAsia="en-US"/>
    </w:rPr>
  </w:style>
  <w:style w:type="paragraph" w:customStyle="1" w:styleId="Handoutbreakouttextboxheading">
    <w:name w:val="Handout breakout text box heading"/>
    <w:basedOn w:val="Handoutbreakouttextbox"/>
    <w:autoRedefine/>
    <w:semiHidden/>
    <w:rsid w:val="00485D7B"/>
    <w:pPr>
      <w:shd w:val="clear" w:color="auto" w:fill="D9D9D9"/>
      <w:spacing w:after="60"/>
    </w:pPr>
    <w:rPr>
      <w:b/>
      <w:smallCaps/>
      <w:spacing w:val="5"/>
      <w:sz w:val="26"/>
    </w:rPr>
  </w:style>
  <w:style w:type="paragraph" w:customStyle="1" w:styleId="Handoutbreakouttextboxheading1">
    <w:name w:val="Handout breakout text box heading1"/>
    <w:basedOn w:val="Handoutbreakouttextbox"/>
    <w:semiHidden/>
    <w:rsid w:val="00485D7B"/>
    <w:pPr>
      <w:spacing w:after="60"/>
      <w:ind w:left="170" w:hanging="170"/>
      <w:jc w:val="both"/>
    </w:pPr>
    <w:rPr>
      <w:rFonts w:cs="Arial"/>
      <w:b/>
      <w:bCs/>
      <w:smallCaps/>
      <w:spacing w:val="5"/>
      <w:sz w:val="26"/>
    </w:rPr>
  </w:style>
  <w:style w:type="paragraph" w:customStyle="1" w:styleId="Handoutbreakouttextboxheading2">
    <w:name w:val="Handout breakout text box heading2"/>
    <w:basedOn w:val="Handoutbreakouttextbox"/>
    <w:semiHidden/>
    <w:rsid w:val="00485D7B"/>
    <w:pPr>
      <w:spacing w:after="60"/>
      <w:ind w:left="170" w:hanging="170"/>
      <w:jc w:val="both"/>
    </w:pPr>
    <w:rPr>
      <w:rFonts w:cs="Arial"/>
      <w:b/>
      <w:bCs/>
      <w:smallCaps/>
      <w:spacing w:val="5"/>
      <w:sz w:val="26"/>
    </w:rPr>
  </w:style>
  <w:style w:type="paragraph" w:customStyle="1" w:styleId="Handoutbreakouttextboxheading3">
    <w:name w:val="Handout breakout text box heading3"/>
    <w:basedOn w:val="Handoutbreakouttextbox"/>
    <w:semiHidden/>
    <w:rsid w:val="00485D7B"/>
    <w:pPr>
      <w:spacing w:after="60"/>
      <w:ind w:left="170" w:hanging="170"/>
      <w:jc w:val="both"/>
    </w:pPr>
    <w:rPr>
      <w:rFonts w:cs="Arial"/>
      <w:b/>
      <w:bCs/>
      <w:smallCaps/>
      <w:spacing w:val="5"/>
      <w:sz w:val="26"/>
    </w:rPr>
  </w:style>
  <w:style w:type="paragraph" w:customStyle="1" w:styleId="Handoutbreakouttextbox1">
    <w:name w:val="Handout breakout text box1"/>
    <w:basedOn w:val="Handoutnormaltext"/>
    <w:semiHidden/>
    <w:rsid w:val="00485D7B"/>
    <w:pPr>
      <w:spacing w:before="60" w:after="120" w:line="260" w:lineRule="exact"/>
      <w:ind w:left="170" w:right="170"/>
      <w:jc w:val="both"/>
    </w:pPr>
    <w:rPr>
      <w:bCs/>
      <w:iCs w:val="0"/>
    </w:rPr>
  </w:style>
  <w:style w:type="paragraph" w:customStyle="1" w:styleId="Handoutbreakouttextbox2">
    <w:name w:val="Handout breakout text box2"/>
    <w:basedOn w:val="Handoutnormaltext"/>
    <w:semiHidden/>
    <w:rsid w:val="00485D7B"/>
    <w:pPr>
      <w:spacing w:before="60" w:after="120" w:line="260" w:lineRule="exact"/>
      <w:ind w:left="170" w:right="170"/>
      <w:jc w:val="both"/>
    </w:pPr>
    <w:rPr>
      <w:bCs/>
      <w:iCs w:val="0"/>
    </w:rPr>
  </w:style>
  <w:style w:type="paragraph" w:customStyle="1" w:styleId="Handoutbreakouttextbox3">
    <w:name w:val="Handout breakout text box3"/>
    <w:basedOn w:val="Handoutnormaltext"/>
    <w:semiHidden/>
    <w:rsid w:val="00485D7B"/>
    <w:pPr>
      <w:spacing w:before="60" w:after="120" w:line="260" w:lineRule="exact"/>
      <w:ind w:left="170" w:right="170"/>
      <w:jc w:val="both"/>
    </w:pPr>
    <w:rPr>
      <w:bCs/>
      <w:iCs w:val="0"/>
    </w:rPr>
  </w:style>
  <w:style w:type="paragraph" w:customStyle="1" w:styleId="Handoutdialogue">
    <w:name w:val="Handout dialogue"/>
    <w:basedOn w:val="Handoutnormaltext"/>
    <w:semiHidden/>
    <w:rsid w:val="00485D7B"/>
    <w:pPr>
      <w:spacing w:after="140"/>
      <w:ind w:left="340" w:right="170"/>
    </w:pPr>
    <w:rPr>
      <w:bCs/>
      <w:i/>
      <w:iCs w:val="0"/>
      <w:sz w:val="21"/>
    </w:rPr>
  </w:style>
  <w:style w:type="paragraph" w:customStyle="1" w:styleId="Handoutdialogue1">
    <w:name w:val="Handout dialogue1"/>
    <w:basedOn w:val="Handoutnormaltext"/>
    <w:semiHidden/>
    <w:rsid w:val="00485D7B"/>
    <w:pPr>
      <w:spacing w:after="140"/>
      <w:ind w:left="340" w:right="170"/>
    </w:pPr>
    <w:rPr>
      <w:bCs/>
      <w:i/>
      <w:iCs w:val="0"/>
      <w:sz w:val="21"/>
    </w:rPr>
  </w:style>
  <w:style w:type="paragraph" w:customStyle="1" w:styleId="Handoutdialogue2">
    <w:name w:val="Handout dialogue2"/>
    <w:basedOn w:val="Handoutnormaltext"/>
    <w:semiHidden/>
    <w:rsid w:val="00485D7B"/>
    <w:pPr>
      <w:spacing w:after="140"/>
      <w:ind w:left="340" w:right="170"/>
    </w:pPr>
    <w:rPr>
      <w:bCs/>
      <w:i/>
      <w:iCs w:val="0"/>
      <w:sz w:val="21"/>
    </w:rPr>
  </w:style>
  <w:style w:type="paragraph" w:customStyle="1" w:styleId="Handoutdotlist1">
    <w:name w:val="Handout dot list 1"/>
    <w:basedOn w:val="Handoutnormaltext"/>
    <w:autoRedefine/>
    <w:semiHidden/>
    <w:rsid w:val="00485D7B"/>
    <w:pPr>
      <w:numPr>
        <w:ilvl w:val="2"/>
        <w:numId w:val="29"/>
      </w:numPr>
      <w:spacing w:after="140"/>
    </w:pPr>
  </w:style>
  <w:style w:type="paragraph" w:customStyle="1" w:styleId="Handoutdotlist11">
    <w:name w:val="Handout dot list 11"/>
    <w:basedOn w:val="Handoutnormaltext"/>
    <w:semiHidden/>
    <w:rsid w:val="00485D7B"/>
    <w:pPr>
      <w:tabs>
        <w:tab w:val="num" w:pos="530"/>
      </w:tabs>
      <w:spacing w:after="140"/>
      <w:ind w:left="510" w:hanging="340"/>
    </w:pPr>
    <w:rPr>
      <w:bCs/>
      <w:iCs w:val="0"/>
      <w:sz w:val="21"/>
    </w:rPr>
  </w:style>
  <w:style w:type="paragraph" w:customStyle="1" w:styleId="Handoutdotlist12">
    <w:name w:val="Handout dot list 12"/>
    <w:basedOn w:val="Handoutnormaltext"/>
    <w:semiHidden/>
    <w:rsid w:val="00485D7B"/>
    <w:pPr>
      <w:tabs>
        <w:tab w:val="num" w:pos="530"/>
      </w:tabs>
      <w:spacing w:after="140"/>
      <w:ind w:left="510" w:hanging="340"/>
    </w:pPr>
    <w:rPr>
      <w:bCs/>
      <w:iCs w:val="0"/>
      <w:sz w:val="21"/>
    </w:rPr>
  </w:style>
  <w:style w:type="paragraph" w:customStyle="1" w:styleId="Handoutdotlist13">
    <w:name w:val="Handout dot list 13"/>
    <w:basedOn w:val="Handoutnormaltext"/>
    <w:semiHidden/>
    <w:rsid w:val="00485D7B"/>
    <w:pPr>
      <w:tabs>
        <w:tab w:val="num" w:pos="530"/>
      </w:tabs>
      <w:spacing w:after="140"/>
      <w:ind w:left="510" w:hanging="340"/>
    </w:pPr>
    <w:rPr>
      <w:bCs/>
      <w:iCs w:val="0"/>
      <w:sz w:val="21"/>
    </w:rPr>
  </w:style>
  <w:style w:type="paragraph" w:customStyle="1" w:styleId="Handoutlevel1heading">
    <w:name w:val="Handout level 1 heading"/>
    <w:basedOn w:val="Heading4"/>
    <w:autoRedefine/>
    <w:semiHidden/>
    <w:rsid w:val="00485D7B"/>
    <w:pPr>
      <w:spacing w:before="720" w:after="240" w:line="240" w:lineRule="auto"/>
      <w:contextualSpacing w:val="0"/>
      <w:outlineLvl w:val="0"/>
    </w:pPr>
    <w:rPr>
      <w:rFonts w:cs="Times New Roman"/>
      <w:sz w:val="36"/>
      <w:szCs w:val="20"/>
      <w:lang w:eastAsia="en-US"/>
    </w:rPr>
  </w:style>
  <w:style w:type="paragraph" w:customStyle="1" w:styleId="Handoutlevel1heading1">
    <w:name w:val="Handout level 1 heading1"/>
    <w:basedOn w:val="Heading4"/>
    <w:semiHidden/>
    <w:rsid w:val="00485D7B"/>
    <w:pPr>
      <w:spacing w:before="720" w:after="240" w:line="240" w:lineRule="auto"/>
      <w:ind w:left="170" w:hanging="170"/>
      <w:contextualSpacing w:val="0"/>
    </w:pPr>
    <w:rPr>
      <w:rFonts w:cs="Times New Roman"/>
      <w:sz w:val="36"/>
      <w:szCs w:val="20"/>
      <w:lang w:eastAsia="en-US"/>
    </w:rPr>
  </w:style>
  <w:style w:type="paragraph" w:customStyle="1" w:styleId="Handoutlevel1heading2">
    <w:name w:val="Handout level 1 heading2"/>
    <w:basedOn w:val="Heading4"/>
    <w:semiHidden/>
    <w:rsid w:val="00485D7B"/>
    <w:pPr>
      <w:spacing w:before="720" w:after="240" w:line="240" w:lineRule="auto"/>
      <w:ind w:left="170" w:hanging="170"/>
      <w:contextualSpacing w:val="0"/>
    </w:pPr>
    <w:rPr>
      <w:rFonts w:cs="Times New Roman"/>
      <w:sz w:val="36"/>
      <w:szCs w:val="20"/>
      <w:lang w:eastAsia="en-US"/>
    </w:rPr>
  </w:style>
  <w:style w:type="paragraph" w:customStyle="1" w:styleId="Handoutlevel1heading3">
    <w:name w:val="Handout level 1 heading3"/>
    <w:basedOn w:val="Heading4"/>
    <w:semiHidden/>
    <w:rsid w:val="00485D7B"/>
    <w:pPr>
      <w:spacing w:before="720" w:after="240" w:line="240" w:lineRule="auto"/>
      <w:ind w:left="170" w:hanging="170"/>
      <w:contextualSpacing w:val="0"/>
    </w:pPr>
    <w:rPr>
      <w:rFonts w:cs="Times New Roman"/>
      <w:sz w:val="36"/>
      <w:szCs w:val="20"/>
      <w:lang w:eastAsia="en-US"/>
    </w:rPr>
  </w:style>
  <w:style w:type="paragraph" w:customStyle="1" w:styleId="Handoutlevel2heading">
    <w:name w:val="Handout level 2 heading"/>
    <w:basedOn w:val="Handoutlevel1heading"/>
    <w:autoRedefine/>
    <w:semiHidden/>
    <w:rsid w:val="00485D7B"/>
    <w:pPr>
      <w:shd w:val="clear" w:color="auto" w:fill="D9D9D9"/>
      <w:spacing w:before="560" w:after="140"/>
      <w:ind w:right="70"/>
    </w:pPr>
    <w:rPr>
      <w:sz w:val="28"/>
    </w:rPr>
  </w:style>
  <w:style w:type="paragraph" w:customStyle="1" w:styleId="Handoutlevel2heading1">
    <w:name w:val="Handout level 2 heading1"/>
    <w:basedOn w:val="Handoutlevel1heading"/>
    <w:semiHidden/>
    <w:rsid w:val="00485D7B"/>
    <w:pPr>
      <w:spacing w:before="560" w:after="140"/>
      <w:ind w:left="170" w:hanging="170"/>
      <w:outlineLvl w:val="3"/>
    </w:pPr>
    <w:rPr>
      <w:sz w:val="28"/>
    </w:rPr>
  </w:style>
  <w:style w:type="paragraph" w:customStyle="1" w:styleId="Handoutlevel2heading2">
    <w:name w:val="Handout level 2 heading2"/>
    <w:basedOn w:val="Handoutlevel1heading"/>
    <w:semiHidden/>
    <w:rsid w:val="00485D7B"/>
    <w:pPr>
      <w:spacing w:before="560" w:after="140"/>
      <w:ind w:left="170" w:hanging="170"/>
      <w:outlineLvl w:val="3"/>
    </w:pPr>
    <w:rPr>
      <w:sz w:val="28"/>
    </w:rPr>
  </w:style>
  <w:style w:type="paragraph" w:customStyle="1" w:styleId="Handoutlevel2heading3">
    <w:name w:val="Handout level 2 heading3"/>
    <w:basedOn w:val="Handoutlevel1heading"/>
    <w:semiHidden/>
    <w:rsid w:val="00485D7B"/>
    <w:pPr>
      <w:spacing w:before="560" w:after="140"/>
      <w:ind w:left="170" w:hanging="170"/>
      <w:outlineLvl w:val="3"/>
    </w:pPr>
    <w:rPr>
      <w:sz w:val="28"/>
    </w:rPr>
  </w:style>
  <w:style w:type="paragraph" w:customStyle="1" w:styleId="Handoutlevel3heading">
    <w:name w:val="Handout level 3 heading"/>
    <w:basedOn w:val="Handoutlevel2heading"/>
    <w:autoRedefine/>
    <w:semiHidden/>
    <w:rsid w:val="00485D7B"/>
    <w:pPr>
      <w:shd w:val="clear" w:color="auto" w:fill="auto"/>
      <w:spacing w:before="360" w:after="70"/>
      <w:outlineLvl w:val="9"/>
    </w:pPr>
    <w:rPr>
      <w:sz w:val="24"/>
      <w:szCs w:val="24"/>
      <w:lang w:val="en-US"/>
    </w:rPr>
  </w:style>
  <w:style w:type="paragraph" w:customStyle="1" w:styleId="Handoutlevel3heading1">
    <w:name w:val="Handout level 3 heading1"/>
    <w:basedOn w:val="Handoutlevel2heading"/>
    <w:semiHidden/>
    <w:rsid w:val="00485D7B"/>
    <w:pPr>
      <w:shd w:val="clear" w:color="auto" w:fill="auto"/>
      <w:spacing w:before="360" w:after="70"/>
      <w:ind w:left="170" w:right="0" w:hanging="170"/>
      <w:outlineLvl w:val="3"/>
    </w:pPr>
    <w:rPr>
      <w:sz w:val="24"/>
    </w:rPr>
  </w:style>
  <w:style w:type="paragraph" w:customStyle="1" w:styleId="Handoutlevel3heading2">
    <w:name w:val="Handout level 3 heading2"/>
    <w:basedOn w:val="Handoutlevel2heading"/>
    <w:semiHidden/>
    <w:rsid w:val="00485D7B"/>
    <w:pPr>
      <w:shd w:val="clear" w:color="auto" w:fill="auto"/>
      <w:spacing w:before="360" w:after="70"/>
      <w:ind w:left="170" w:right="0" w:hanging="170"/>
      <w:outlineLvl w:val="3"/>
    </w:pPr>
    <w:rPr>
      <w:sz w:val="24"/>
    </w:rPr>
  </w:style>
  <w:style w:type="paragraph" w:customStyle="1" w:styleId="Handoutlevel3heading3">
    <w:name w:val="Handout level 3 heading3"/>
    <w:basedOn w:val="Handoutlevel2heading"/>
    <w:semiHidden/>
    <w:rsid w:val="00485D7B"/>
    <w:pPr>
      <w:shd w:val="clear" w:color="auto" w:fill="auto"/>
      <w:spacing w:before="360" w:after="70"/>
      <w:ind w:left="170" w:right="0" w:hanging="170"/>
      <w:outlineLvl w:val="3"/>
    </w:pPr>
    <w:rPr>
      <w:sz w:val="24"/>
    </w:rPr>
  </w:style>
  <w:style w:type="paragraph" w:customStyle="1" w:styleId="Handoutlevel3heading4">
    <w:name w:val="Handout level 3 heading4"/>
    <w:basedOn w:val="Handoutlevel2heading"/>
    <w:semiHidden/>
    <w:rsid w:val="00485D7B"/>
    <w:pPr>
      <w:shd w:val="clear" w:color="auto" w:fill="auto"/>
      <w:spacing w:before="360" w:after="70"/>
      <w:ind w:left="170" w:right="0" w:hanging="170"/>
      <w:outlineLvl w:val="3"/>
    </w:pPr>
    <w:rPr>
      <w:sz w:val="24"/>
    </w:rPr>
  </w:style>
  <w:style w:type="paragraph" w:customStyle="1" w:styleId="Handoutlevel3heading5">
    <w:name w:val="Handout level 3 heading5"/>
    <w:basedOn w:val="Normal"/>
    <w:semiHidden/>
    <w:rsid w:val="00485D7B"/>
    <w:pPr>
      <w:keepNext/>
      <w:spacing w:before="360" w:after="70" w:line="240" w:lineRule="auto"/>
      <w:ind w:left="170" w:hanging="170"/>
      <w:outlineLvl w:val="3"/>
    </w:pPr>
    <w:rPr>
      <w:rFonts w:ascii="Arial" w:hAnsi="Arial"/>
      <w:b/>
      <w:sz w:val="24"/>
      <w:szCs w:val="20"/>
      <w:lang w:eastAsia="en-US"/>
    </w:rPr>
  </w:style>
  <w:style w:type="paragraph" w:customStyle="1" w:styleId="Handoutlevel4">
    <w:name w:val="Handout level 4"/>
    <w:basedOn w:val="Handoutlevel3heading"/>
    <w:semiHidden/>
    <w:rsid w:val="00485D7B"/>
    <w:rPr>
      <w:sz w:val="20"/>
    </w:rPr>
  </w:style>
  <w:style w:type="paragraph" w:customStyle="1" w:styleId="Handoutnormaltext">
    <w:name w:val="Handout normal text"/>
    <w:basedOn w:val="Normal"/>
    <w:autoRedefine/>
    <w:semiHidden/>
    <w:rsid w:val="00485D7B"/>
    <w:pPr>
      <w:spacing w:after="60" w:line="280" w:lineRule="exact"/>
      <w:ind w:left="360"/>
    </w:pPr>
    <w:rPr>
      <w:rFonts w:ascii="Arial" w:hAnsi="Arial" w:cs="Arial"/>
      <w:iCs/>
      <w:sz w:val="20"/>
      <w:szCs w:val="20"/>
      <w:lang w:eastAsia="en-US"/>
    </w:rPr>
  </w:style>
  <w:style w:type="paragraph" w:customStyle="1" w:styleId="Handoutnormaltext1">
    <w:name w:val="Handout normal text1"/>
    <w:basedOn w:val="Normal"/>
    <w:semiHidden/>
    <w:rsid w:val="00485D7B"/>
    <w:pPr>
      <w:spacing w:after="140" w:line="280" w:lineRule="exact"/>
      <w:ind w:left="170"/>
    </w:pPr>
    <w:rPr>
      <w:rFonts w:ascii="Arial" w:hAnsi="Arial" w:cs="Arial"/>
      <w:bCs/>
      <w:sz w:val="21"/>
      <w:szCs w:val="20"/>
      <w:lang w:eastAsia="en-US"/>
    </w:rPr>
  </w:style>
  <w:style w:type="paragraph" w:customStyle="1" w:styleId="Handoutnormaltext2">
    <w:name w:val="Handout normal text2"/>
    <w:basedOn w:val="Normal"/>
    <w:semiHidden/>
    <w:rsid w:val="00485D7B"/>
    <w:pPr>
      <w:spacing w:after="140" w:line="280" w:lineRule="exact"/>
      <w:ind w:left="170"/>
    </w:pPr>
    <w:rPr>
      <w:rFonts w:ascii="Arial" w:hAnsi="Arial" w:cs="Arial"/>
      <w:bCs/>
      <w:sz w:val="21"/>
      <w:szCs w:val="20"/>
      <w:lang w:eastAsia="en-US"/>
    </w:rPr>
  </w:style>
  <w:style w:type="paragraph" w:customStyle="1" w:styleId="Handoutnormaltext3">
    <w:name w:val="Handout normal text3"/>
    <w:basedOn w:val="Normal"/>
    <w:semiHidden/>
    <w:rsid w:val="00485D7B"/>
    <w:pPr>
      <w:spacing w:after="140" w:line="280" w:lineRule="exact"/>
      <w:ind w:left="170"/>
    </w:pPr>
    <w:rPr>
      <w:rFonts w:ascii="Arial" w:hAnsi="Arial" w:cs="Arial"/>
      <w:bCs/>
      <w:sz w:val="21"/>
      <w:szCs w:val="20"/>
      <w:lang w:eastAsia="en-US"/>
    </w:rPr>
  </w:style>
  <w:style w:type="paragraph" w:customStyle="1" w:styleId="Handoutnormaltext4">
    <w:name w:val="Handout normal text4"/>
    <w:basedOn w:val="Normal"/>
    <w:semiHidden/>
    <w:rsid w:val="00485D7B"/>
    <w:pPr>
      <w:spacing w:after="140" w:line="280" w:lineRule="exact"/>
      <w:ind w:left="170"/>
    </w:pPr>
    <w:rPr>
      <w:rFonts w:ascii="Arial" w:hAnsi="Arial" w:cs="Arial"/>
      <w:bCs/>
      <w:sz w:val="21"/>
      <w:szCs w:val="20"/>
      <w:lang w:eastAsia="en-US"/>
    </w:rPr>
  </w:style>
  <w:style w:type="paragraph" w:customStyle="1" w:styleId="Handoutnormaltext5">
    <w:name w:val="Handout normal text5"/>
    <w:basedOn w:val="Normal"/>
    <w:semiHidden/>
    <w:rsid w:val="00485D7B"/>
    <w:pPr>
      <w:spacing w:after="140" w:line="280" w:lineRule="exact"/>
      <w:ind w:left="170"/>
    </w:pPr>
    <w:rPr>
      <w:rFonts w:ascii="Arial" w:hAnsi="Arial" w:cs="Arial"/>
      <w:bCs/>
      <w:sz w:val="21"/>
      <w:szCs w:val="20"/>
      <w:lang w:eastAsia="en-US"/>
    </w:rPr>
  </w:style>
  <w:style w:type="paragraph" w:customStyle="1" w:styleId="Handoutnumberedlist1">
    <w:name w:val="Handout numbered list 1"/>
    <w:basedOn w:val="Handoutnormaltext"/>
    <w:autoRedefine/>
    <w:semiHidden/>
    <w:rsid w:val="00485D7B"/>
    <w:pPr>
      <w:spacing w:after="40"/>
      <w:ind w:left="340"/>
    </w:pPr>
  </w:style>
  <w:style w:type="paragraph" w:customStyle="1" w:styleId="Handoutnumberedlist11">
    <w:name w:val="Handout numbered list 11"/>
    <w:basedOn w:val="Handoutnormaltext"/>
    <w:semiHidden/>
    <w:rsid w:val="00485D7B"/>
    <w:pPr>
      <w:tabs>
        <w:tab w:val="num" w:pos="907"/>
      </w:tabs>
      <w:spacing w:after="40"/>
      <w:ind w:left="907" w:hanging="567"/>
    </w:pPr>
    <w:rPr>
      <w:bCs/>
      <w:iCs w:val="0"/>
      <w:sz w:val="21"/>
    </w:rPr>
  </w:style>
  <w:style w:type="paragraph" w:customStyle="1" w:styleId="Handoutnumberedlist12">
    <w:name w:val="Handout numbered list 12"/>
    <w:basedOn w:val="Handoutnormaltext"/>
    <w:semiHidden/>
    <w:rsid w:val="00485D7B"/>
    <w:pPr>
      <w:tabs>
        <w:tab w:val="num" w:pos="907"/>
      </w:tabs>
      <w:spacing w:after="40"/>
      <w:ind w:left="907" w:hanging="567"/>
    </w:pPr>
    <w:rPr>
      <w:bCs/>
      <w:iCs w:val="0"/>
      <w:sz w:val="21"/>
    </w:rPr>
  </w:style>
  <w:style w:type="paragraph" w:customStyle="1" w:styleId="Handoutnumberedlist13">
    <w:name w:val="Handout numbered list 13"/>
    <w:basedOn w:val="Handoutnormaltext"/>
    <w:semiHidden/>
    <w:rsid w:val="00485D7B"/>
    <w:pPr>
      <w:tabs>
        <w:tab w:val="num" w:pos="907"/>
      </w:tabs>
      <w:spacing w:after="40"/>
      <w:ind w:left="907" w:hanging="567"/>
    </w:pPr>
    <w:rPr>
      <w:bCs/>
      <w:iCs w:val="0"/>
      <w:sz w:val="21"/>
    </w:rPr>
  </w:style>
  <w:style w:type="paragraph" w:customStyle="1" w:styleId="StyleHandoutnormaltextNotItalic">
    <w:name w:val="Style Handout normal text + Not Italic"/>
    <w:basedOn w:val="Handoutnormaltext"/>
    <w:autoRedefine/>
    <w:semiHidden/>
    <w:rsid w:val="00485D7B"/>
    <w:rPr>
      <w:bCs/>
      <w:i/>
    </w:rPr>
  </w:style>
  <w:style w:type="paragraph" w:customStyle="1" w:styleId="Titlepagecontentslist1">
    <w:name w:val="Title page contents list 1"/>
    <w:basedOn w:val="Normal"/>
    <w:semiHidden/>
    <w:rsid w:val="00485D7B"/>
    <w:pPr>
      <w:numPr>
        <w:numId w:val="30"/>
      </w:numPr>
      <w:spacing w:line="240" w:lineRule="auto"/>
      <w:ind w:right="2268"/>
    </w:pPr>
    <w:rPr>
      <w:rFonts w:ascii="Arial" w:hAnsi="Arial"/>
      <w:b/>
      <w:sz w:val="28"/>
      <w:szCs w:val="20"/>
      <w:lang w:eastAsia="en-US"/>
    </w:rPr>
  </w:style>
  <w:style w:type="paragraph" w:customStyle="1" w:styleId="Titlepagecontentslistindented">
    <w:name w:val="Title page contents list indented"/>
    <w:basedOn w:val="Normal"/>
    <w:autoRedefine/>
    <w:semiHidden/>
    <w:rsid w:val="00485D7B"/>
    <w:pPr>
      <w:numPr>
        <w:numId w:val="31"/>
      </w:numPr>
      <w:spacing w:line="240" w:lineRule="auto"/>
      <w:ind w:right="2268"/>
    </w:pPr>
    <w:rPr>
      <w:rFonts w:ascii="Arial" w:hAnsi="Arial"/>
      <w:sz w:val="24"/>
      <w:szCs w:val="20"/>
      <w:lang w:eastAsia="en-US"/>
    </w:rPr>
  </w:style>
  <w:style w:type="paragraph" w:customStyle="1" w:styleId="TitlepageRHoutsidetitle">
    <w:name w:val="Title page RH outside title"/>
    <w:basedOn w:val="Normal"/>
    <w:semiHidden/>
    <w:rsid w:val="00485D7B"/>
    <w:pPr>
      <w:spacing w:after="0" w:line="240" w:lineRule="auto"/>
      <w:jc w:val="center"/>
    </w:pPr>
    <w:rPr>
      <w:rFonts w:ascii="Arial Black" w:hAnsi="Arial Black"/>
      <w:sz w:val="84"/>
      <w:szCs w:val="20"/>
      <w:lang w:eastAsia="en-US"/>
    </w:rPr>
  </w:style>
  <w:style w:type="paragraph" w:customStyle="1" w:styleId="TitlepageRHoutsidetitle1">
    <w:name w:val="Title page RH outside title1"/>
    <w:basedOn w:val="Normal"/>
    <w:semiHidden/>
    <w:rsid w:val="00485D7B"/>
    <w:pPr>
      <w:spacing w:after="0" w:line="240" w:lineRule="auto"/>
      <w:jc w:val="center"/>
    </w:pPr>
    <w:rPr>
      <w:rFonts w:ascii="Arial Black" w:hAnsi="Arial Black"/>
      <w:sz w:val="84"/>
      <w:szCs w:val="20"/>
      <w:lang w:eastAsia="en-US"/>
    </w:rPr>
  </w:style>
  <w:style w:type="paragraph" w:customStyle="1" w:styleId="TitlepageRHoutsidetitle2">
    <w:name w:val="Title page RH outside title2"/>
    <w:basedOn w:val="Normal"/>
    <w:semiHidden/>
    <w:rsid w:val="00485D7B"/>
    <w:pPr>
      <w:spacing w:after="0" w:line="240" w:lineRule="auto"/>
      <w:jc w:val="center"/>
    </w:pPr>
    <w:rPr>
      <w:rFonts w:ascii="Arial Black" w:hAnsi="Arial Black"/>
      <w:sz w:val="84"/>
      <w:szCs w:val="20"/>
      <w:lang w:eastAsia="en-US"/>
    </w:rPr>
  </w:style>
  <w:style w:type="paragraph" w:customStyle="1" w:styleId="TitlepageRHoutsidetitle3">
    <w:name w:val="Title page RH outside title3"/>
    <w:basedOn w:val="Normal"/>
    <w:semiHidden/>
    <w:rsid w:val="00485D7B"/>
    <w:pPr>
      <w:spacing w:after="0" w:line="240" w:lineRule="auto"/>
      <w:jc w:val="center"/>
    </w:pPr>
    <w:rPr>
      <w:rFonts w:ascii="Arial Black" w:hAnsi="Arial Black"/>
      <w:sz w:val="84"/>
      <w:szCs w:val="20"/>
      <w:lang w:eastAsia="en-US"/>
    </w:rPr>
  </w:style>
  <w:style w:type="paragraph" w:customStyle="1" w:styleId="TitlepageRHoutsidetitle4">
    <w:name w:val="Title page RH outside title4"/>
    <w:basedOn w:val="Normal"/>
    <w:semiHidden/>
    <w:rsid w:val="00485D7B"/>
    <w:pPr>
      <w:spacing w:after="0" w:line="240" w:lineRule="auto"/>
      <w:jc w:val="center"/>
    </w:pPr>
    <w:rPr>
      <w:rFonts w:ascii="Arial Black" w:hAnsi="Arial Black"/>
      <w:sz w:val="84"/>
      <w:szCs w:val="20"/>
      <w:lang w:eastAsia="en-US"/>
    </w:rPr>
  </w:style>
  <w:style w:type="paragraph" w:customStyle="1" w:styleId="Titlepagetitle">
    <w:name w:val="Title page title"/>
    <w:basedOn w:val="Heading1"/>
    <w:next w:val="Normal"/>
    <w:semiHidden/>
    <w:rsid w:val="00485D7B"/>
    <w:pPr>
      <w:spacing w:before="80" w:after="960" w:line="240" w:lineRule="auto"/>
      <w:contextualSpacing w:val="0"/>
    </w:pPr>
    <w:rPr>
      <w:rFonts w:cs="Times New Roman"/>
      <w:b/>
      <w:bCs w:val="0"/>
      <w:sz w:val="44"/>
      <w:szCs w:val="20"/>
      <w:lang w:eastAsia="en-US"/>
    </w:rPr>
  </w:style>
  <w:style w:type="paragraph" w:customStyle="1" w:styleId="Titlepagetitle1">
    <w:name w:val="Title page title1"/>
    <w:basedOn w:val="Heading1"/>
    <w:next w:val="Normal"/>
    <w:semiHidden/>
    <w:rsid w:val="00485D7B"/>
    <w:pPr>
      <w:spacing w:before="80" w:after="960" w:line="240" w:lineRule="auto"/>
      <w:contextualSpacing w:val="0"/>
    </w:pPr>
    <w:rPr>
      <w:rFonts w:cs="Times New Roman"/>
      <w:b/>
      <w:bCs w:val="0"/>
      <w:sz w:val="44"/>
      <w:szCs w:val="20"/>
      <w:lang w:eastAsia="en-US"/>
    </w:rPr>
  </w:style>
  <w:style w:type="paragraph" w:customStyle="1" w:styleId="Titlepagetitle2">
    <w:name w:val="Title page title2"/>
    <w:basedOn w:val="Heading1"/>
    <w:next w:val="Normal"/>
    <w:semiHidden/>
    <w:rsid w:val="00485D7B"/>
    <w:pPr>
      <w:spacing w:before="80" w:after="960" w:line="240" w:lineRule="auto"/>
      <w:contextualSpacing w:val="0"/>
    </w:pPr>
    <w:rPr>
      <w:rFonts w:cs="Times New Roman"/>
      <w:b/>
      <w:bCs w:val="0"/>
      <w:sz w:val="44"/>
      <w:szCs w:val="20"/>
      <w:lang w:eastAsia="en-US"/>
    </w:rPr>
  </w:style>
  <w:style w:type="paragraph" w:customStyle="1" w:styleId="Titlepagetitle3">
    <w:name w:val="Title page title3"/>
    <w:basedOn w:val="Heading1"/>
    <w:next w:val="Normal"/>
    <w:semiHidden/>
    <w:rsid w:val="00485D7B"/>
    <w:pPr>
      <w:spacing w:before="80" w:after="960" w:line="240" w:lineRule="auto"/>
      <w:contextualSpacing w:val="0"/>
    </w:pPr>
    <w:rPr>
      <w:rFonts w:cs="Times New Roman"/>
      <w:b/>
      <w:bCs w:val="0"/>
      <w:sz w:val="44"/>
      <w:szCs w:val="20"/>
      <w:lang w:eastAsia="en-US"/>
    </w:rPr>
  </w:style>
  <w:style w:type="paragraph" w:customStyle="1" w:styleId="Titlepagetitle4">
    <w:name w:val="Title page title4"/>
    <w:basedOn w:val="Heading1"/>
    <w:next w:val="Normal"/>
    <w:semiHidden/>
    <w:rsid w:val="00485D7B"/>
    <w:pPr>
      <w:spacing w:before="80" w:after="960" w:line="240" w:lineRule="auto"/>
      <w:contextualSpacing w:val="0"/>
    </w:pPr>
    <w:rPr>
      <w:rFonts w:cs="Times New Roman"/>
      <w:b/>
      <w:bCs w:val="0"/>
      <w:sz w:val="44"/>
      <w:szCs w:val="20"/>
      <w:lang w:eastAsia="en-US"/>
    </w:rPr>
  </w:style>
  <w:style w:type="character" w:customStyle="1" w:styleId="VEOHRCBodytextChar">
    <w:name w:val="VEOHRC Body text Char"/>
    <w:link w:val="VEOHRCBodytext"/>
    <w:locked/>
    <w:rsid w:val="00485D7B"/>
    <w:rPr>
      <w:rFonts w:ascii="Arial" w:eastAsia="Times New Roman" w:hAnsi="Arial"/>
      <w:sz w:val="24"/>
      <w:lang w:val="en-GB" w:eastAsia="x-none"/>
    </w:rPr>
  </w:style>
  <w:style w:type="paragraph" w:customStyle="1" w:styleId="Level0-HeadingTOC">
    <w:name w:val="Level 0 - Heading (TOC)"/>
    <w:next w:val="LegalBodyText"/>
    <w:semiHidden/>
    <w:rsid w:val="00485D7B"/>
    <w:pPr>
      <w:spacing w:before="120" w:after="120"/>
      <w:outlineLvl w:val="8"/>
    </w:pPr>
    <w:rPr>
      <w:rFonts w:ascii="Verdana" w:hAnsi="Verdana"/>
      <w:b/>
      <w:caps/>
      <w:color w:val="52006B"/>
      <w:sz w:val="22"/>
      <w:szCs w:val="22"/>
      <w:lang w:eastAsia="en-US"/>
    </w:rPr>
  </w:style>
  <w:style w:type="paragraph" w:customStyle="1" w:styleId="Level0-Recitals">
    <w:name w:val="Level 0 - Recitals"/>
    <w:semiHidden/>
    <w:rsid w:val="00485D7B"/>
    <w:pPr>
      <w:numPr>
        <w:numId w:val="40"/>
      </w:numPr>
      <w:tabs>
        <w:tab w:val="left" w:pos="851"/>
      </w:tabs>
      <w:spacing w:before="120" w:after="120"/>
    </w:pPr>
    <w:rPr>
      <w:rFonts w:ascii="Verdana" w:hAnsi="Verdana"/>
      <w:sz w:val="24"/>
      <w:szCs w:val="24"/>
      <w:lang w:eastAsia="en-US"/>
    </w:rPr>
  </w:style>
  <w:style w:type="paragraph" w:customStyle="1" w:styleId="BodyText-Bold">
    <w:name w:val="Body Text - Bold"/>
    <w:link w:val="BodyText-BoldChar"/>
    <w:semiHidden/>
    <w:rsid w:val="00485D7B"/>
    <w:pPr>
      <w:spacing w:before="120" w:after="120"/>
      <w:ind w:left="567"/>
    </w:pPr>
    <w:rPr>
      <w:rFonts w:ascii="Verdana" w:hAnsi="Verdana"/>
      <w:b/>
      <w:sz w:val="24"/>
      <w:szCs w:val="24"/>
      <w:lang w:eastAsia="en-US"/>
    </w:rPr>
  </w:style>
  <w:style w:type="paragraph" w:customStyle="1" w:styleId="Default">
    <w:name w:val="Default"/>
    <w:rsid w:val="00485D7B"/>
    <w:pPr>
      <w:autoSpaceDE w:val="0"/>
      <w:autoSpaceDN w:val="0"/>
      <w:adjustRightInd w:val="0"/>
    </w:pPr>
    <w:rPr>
      <w:rFonts w:ascii="Arial" w:hAnsi="Arial" w:cs="Arial"/>
      <w:color w:val="000000"/>
      <w:sz w:val="24"/>
      <w:szCs w:val="24"/>
    </w:rPr>
  </w:style>
  <w:style w:type="paragraph" w:customStyle="1" w:styleId="DRHead3">
    <w:name w:val="DR Head 3"/>
    <w:basedOn w:val="Normal"/>
    <w:semiHidden/>
    <w:rsid w:val="00485D7B"/>
    <w:pPr>
      <w:shd w:val="clear" w:color="auto" w:fill="FFFFFF"/>
      <w:spacing w:before="100" w:beforeAutospacing="1" w:after="210" w:line="480" w:lineRule="auto"/>
    </w:pPr>
    <w:rPr>
      <w:rFonts w:ascii="Times New Roman" w:hAnsi="Times New Roman"/>
      <w:b/>
      <w:sz w:val="24"/>
      <w:szCs w:val="20"/>
      <w:lang w:eastAsia="en-US"/>
    </w:rPr>
  </w:style>
  <w:style w:type="paragraph" w:customStyle="1" w:styleId="DRHead1">
    <w:name w:val="DR Head1"/>
    <w:basedOn w:val="Normal"/>
    <w:semiHidden/>
    <w:rsid w:val="00485D7B"/>
    <w:pPr>
      <w:autoSpaceDE w:val="0"/>
      <w:autoSpaceDN w:val="0"/>
      <w:adjustRightInd w:val="0"/>
      <w:spacing w:after="0" w:line="480" w:lineRule="auto"/>
    </w:pPr>
    <w:rPr>
      <w:rFonts w:ascii="Times New Roman" w:hAnsi="Times New Roman"/>
      <w:b/>
      <w:iCs/>
      <w:sz w:val="24"/>
      <w:szCs w:val="20"/>
      <w:u w:val="single"/>
      <w:lang w:val="en-US" w:eastAsia="en-US"/>
    </w:rPr>
  </w:style>
  <w:style w:type="paragraph" w:customStyle="1" w:styleId="Tablecontent">
    <w:name w:val="Table content"/>
    <w:basedOn w:val="Normal"/>
    <w:semiHidden/>
    <w:rsid w:val="00485D7B"/>
    <w:pPr>
      <w:spacing w:before="120" w:after="120" w:line="240" w:lineRule="auto"/>
    </w:pPr>
    <w:rPr>
      <w:rFonts w:ascii="Arial" w:hAnsi="Arial" w:cs="Arial"/>
      <w:color w:val="616365"/>
      <w:sz w:val="20"/>
      <w:szCs w:val="18"/>
      <w:lang w:eastAsia="en-US"/>
    </w:rPr>
  </w:style>
  <w:style w:type="paragraph" w:customStyle="1" w:styleId="TableText">
    <w:name w:val="Table Text"/>
    <w:link w:val="TableTextChar"/>
    <w:semiHidden/>
    <w:rsid w:val="00485D7B"/>
    <w:pPr>
      <w:spacing w:before="60" w:after="60"/>
    </w:pPr>
    <w:rPr>
      <w:rFonts w:ascii="Verdana" w:hAnsi="Verdana"/>
      <w:sz w:val="18"/>
      <w:szCs w:val="18"/>
      <w:lang w:eastAsia="en-US"/>
    </w:rPr>
  </w:style>
  <w:style w:type="paragraph" w:customStyle="1" w:styleId="TableText-List">
    <w:name w:val="Table Text - List"/>
    <w:semiHidden/>
    <w:rsid w:val="00485D7B"/>
    <w:pPr>
      <w:numPr>
        <w:numId w:val="33"/>
      </w:numPr>
      <w:spacing w:before="60" w:after="60"/>
    </w:pPr>
    <w:rPr>
      <w:rFonts w:ascii="Verdana" w:hAnsi="Verdana"/>
      <w:kern w:val="22"/>
      <w:sz w:val="18"/>
      <w:szCs w:val="18"/>
      <w:lang w:eastAsia="en-US"/>
    </w:rPr>
  </w:style>
  <w:style w:type="paragraph" w:customStyle="1" w:styleId="TableText-Centred">
    <w:name w:val="Table Text - Centred"/>
    <w:semiHidden/>
    <w:rsid w:val="00485D7B"/>
    <w:pPr>
      <w:spacing w:before="60" w:after="60"/>
      <w:jc w:val="center"/>
    </w:pPr>
    <w:rPr>
      <w:rFonts w:ascii="Verdana" w:hAnsi="Verdana"/>
      <w:sz w:val="18"/>
      <w:szCs w:val="18"/>
      <w:lang w:eastAsia="en-US"/>
    </w:rPr>
  </w:style>
  <w:style w:type="paragraph" w:customStyle="1" w:styleId="TableHeader">
    <w:name w:val="Table Header"/>
    <w:semiHidden/>
    <w:rsid w:val="00485D7B"/>
    <w:pPr>
      <w:keepNext/>
      <w:spacing w:before="120" w:after="120"/>
    </w:pPr>
    <w:rPr>
      <w:rFonts w:ascii="Verdana" w:hAnsi="Verdana"/>
      <w:b/>
      <w:color w:val="002B45"/>
      <w:sz w:val="24"/>
      <w:szCs w:val="24"/>
      <w:lang w:eastAsia="en-US"/>
    </w:rPr>
  </w:style>
  <w:style w:type="paragraph" w:customStyle="1" w:styleId="TableText-CentredBold">
    <w:name w:val="Table Text - Centred / Bold"/>
    <w:semiHidden/>
    <w:rsid w:val="00485D7B"/>
    <w:pPr>
      <w:spacing w:before="60" w:after="60"/>
      <w:jc w:val="center"/>
    </w:pPr>
    <w:rPr>
      <w:rFonts w:ascii="Verdana" w:hAnsi="Verdana"/>
      <w:b/>
      <w:sz w:val="18"/>
      <w:szCs w:val="18"/>
      <w:lang w:eastAsia="en-US"/>
    </w:rPr>
  </w:style>
  <w:style w:type="paragraph" w:customStyle="1" w:styleId="Spacer">
    <w:name w:val="Spacer"/>
    <w:semiHidden/>
    <w:rsid w:val="00485D7B"/>
    <w:pPr>
      <w:ind w:left="567"/>
    </w:pPr>
    <w:rPr>
      <w:rFonts w:ascii="Verdana" w:hAnsi="Verdana"/>
      <w:sz w:val="12"/>
      <w:szCs w:val="12"/>
      <w:lang w:eastAsia="en-US"/>
    </w:rPr>
  </w:style>
  <w:style w:type="paragraph" w:customStyle="1" w:styleId="TableText-Bold">
    <w:name w:val="Table Text - Bold"/>
    <w:semiHidden/>
    <w:rsid w:val="00485D7B"/>
    <w:pPr>
      <w:spacing w:before="60" w:after="60"/>
    </w:pPr>
    <w:rPr>
      <w:rFonts w:ascii="Verdana" w:hAnsi="Verdana"/>
      <w:b/>
      <w:sz w:val="18"/>
      <w:szCs w:val="18"/>
      <w:lang w:eastAsia="en-US"/>
    </w:rPr>
  </w:style>
  <w:style w:type="paragraph" w:customStyle="1" w:styleId="FigureLabel">
    <w:name w:val="Figure Label"/>
    <w:next w:val="Normal"/>
    <w:semiHidden/>
    <w:rsid w:val="00485D7B"/>
    <w:pPr>
      <w:keepNext/>
      <w:keepLines/>
      <w:tabs>
        <w:tab w:val="left" w:pos="1701"/>
      </w:tabs>
      <w:spacing w:before="120" w:after="120"/>
      <w:ind w:left="1701" w:hanging="1134"/>
    </w:pPr>
    <w:rPr>
      <w:rFonts w:ascii="Verdana" w:hAnsi="Verdana"/>
      <w:i/>
      <w:sz w:val="24"/>
      <w:szCs w:val="24"/>
      <w:lang w:eastAsia="en-US"/>
    </w:rPr>
  </w:style>
  <w:style w:type="paragraph" w:customStyle="1" w:styleId="Figure-List">
    <w:name w:val="Figure - List"/>
    <w:semiHidden/>
    <w:rsid w:val="00485D7B"/>
    <w:pPr>
      <w:numPr>
        <w:numId w:val="32"/>
      </w:numPr>
      <w:tabs>
        <w:tab w:val="left" w:pos="142"/>
      </w:tabs>
      <w:spacing w:after="60"/>
    </w:pPr>
    <w:rPr>
      <w:rFonts w:ascii="Arial" w:hAnsi="Arial"/>
      <w:sz w:val="18"/>
      <w:szCs w:val="18"/>
      <w:lang w:eastAsia="en-US"/>
    </w:rPr>
  </w:style>
  <w:style w:type="paragraph" w:customStyle="1" w:styleId="BodyText-RestrictedRelease">
    <w:name w:val="Body Text - Restricted Release"/>
    <w:semiHidden/>
    <w:rsid w:val="00485D7B"/>
    <w:pPr>
      <w:spacing w:after="120"/>
    </w:pPr>
    <w:rPr>
      <w:rFonts w:ascii="Verdana" w:hAnsi="Verdana"/>
      <w:sz w:val="16"/>
      <w:szCs w:val="30"/>
    </w:rPr>
  </w:style>
  <w:style w:type="paragraph" w:customStyle="1" w:styleId="TableLabel">
    <w:name w:val="Table Label"/>
    <w:next w:val="Normal"/>
    <w:semiHidden/>
    <w:rsid w:val="00485D7B"/>
    <w:pPr>
      <w:keepNext/>
      <w:keepLines/>
      <w:tabs>
        <w:tab w:val="left" w:pos="1701"/>
      </w:tabs>
      <w:spacing w:before="120" w:after="120"/>
      <w:ind w:left="1701" w:hanging="1134"/>
    </w:pPr>
    <w:rPr>
      <w:rFonts w:ascii="Verdana" w:hAnsi="Verdana"/>
      <w:i/>
      <w:sz w:val="24"/>
      <w:szCs w:val="24"/>
      <w:lang w:eastAsia="en-US"/>
    </w:rPr>
  </w:style>
  <w:style w:type="paragraph" w:customStyle="1" w:styleId="BodyText-NumberedListi">
    <w:name w:val="Body Text - Numbered List i"/>
    <w:link w:val="BodyText-NumberedListiCharChar"/>
    <w:semiHidden/>
    <w:rsid w:val="00485D7B"/>
    <w:pPr>
      <w:numPr>
        <w:ilvl w:val="2"/>
        <w:numId w:val="46"/>
      </w:numPr>
      <w:spacing w:before="60" w:after="60"/>
    </w:pPr>
    <w:rPr>
      <w:rFonts w:ascii="Verdana" w:hAnsi="Verdana"/>
      <w:sz w:val="24"/>
      <w:szCs w:val="24"/>
      <w:lang w:eastAsia="en-US"/>
    </w:rPr>
  </w:style>
  <w:style w:type="paragraph" w:customStyle="1" w:styleId="TableText-List-Nolinespacing">
    <w:name w:val="Table Text - List - No line spacing"/>
    <w:semiHidden/>
    <w:rsid w:val="00485D7B"/>
    <w:pPr>
      <w:numPr>
        <w:numId w:val="36"/>
      </w:numPr>
    </w:pPr>
    <w:rPr>
      <w:rFonts w:ascii="Verdana" w:hAnsi="Verdana"/>
      <w:kern w:val="22"/>
      <w:sz w:val="18"/>
      <w:szCs w:val="18"/>
      <w:lang w:eastAsia="en-US"/>
    </w:rPr>
  </w:style>
  <w:style w:type="paragraph" w:customStyle="1" w:styleId="BodyText-List-Indent">
    <w:name w:val="Body Text - List - Indent"/>
    <w:semiHidden/>
    <w:rsid w:val="00485D7B"/>
    <w:pPr>
      <w:numPr>
        <w:numId w:val="35"/>
      </w:numPr>
      <w:spacing w:after="120"/>
    </w:pPr>
    <w:rPr>
      <w:rFonts w:ascii="Verdana" w:hAnsi="Verdana"/>
      <w:sz w:val="24"/>
      <w:szCs w:val="24"/>
      <w:lang w:eastAsia="en-US"/>
    </w:rPr>
  </w:style>
  <w:style w:type="paragraph" w:customStyle="1" w:styleId="FinalorDraft">
    <w:name w:val="Final or Draft"/>
    <w:semiHidden/>
    <w:rsid w:val="00485D7B"/>
    <w:pPr>
      <w:jc w:val="center"/>
    </w:pPr>
    <w:rPr>
      <w:rFonts w:ascii="Verdana" w:hAnsi="Verdana"/>
      <w:b/>
      <w:bCs/>
      <w:color w:val="52006B"/>
      <w:sz w:val="24"/>
      <w:szCs w:val="16"/>
      <w:lang w:eastAsia="en-US"/>
    </w:rPr>
  </w:style>
  <w:style w:type="paragraph" w:customStyle="1" w:styleId="BodyText-Italics">
    <w:name w:val="Body Text - Italics"/>
    <w:semiHidden/>
    <w:rsid w:val="00485D7B"/>
    <w:pPr>
      <w:spacing w:before="120" w:after="120"/>
      <w:ind w:left="567"/>
    </w:pPr>
    <w:rPr>
      <w:rFonts w:ascii="Verdana" w:hAnsi="Verdana"/>
      <w:i/>
      <w:sz w:val="24"/>
      <w:szCs w:val="24"/>
      <w:lang w:eastAsia="en-US"/>
    </w:rPr>
  </w:style>
  <w:style w:type="paragraph" w:customStyle="1" w:styleId="FigureHeading">
    <w:name w:val="Figure Heading"/>
    <w:semiHidden/>
    <w:rsid w:val="00485D7B"/>
    <w:pPr>
      <w:spacing w:after="120"/>
      <w:jc w:val="center"/>
    </w:pPr>
    <w:rPr>
      <w:rFonts w:ascii="Arial" w:hAnsi="Arial"/>
      <w:b/>
      <w:sz w:val="18"/>
      <w:szCs w:val="18"/>
      <w:lang w:eastAsia="en-US"/>
    </w:rPr>
  </w:style>
  <w:style w:type="paragraph" w:customStyle="1" w:styleId="BodyText-SmallText">
    <w:name w:val="Body Text - Small Text"/>
    <w:semiHidden/>
    <w:rsid w:val="00485D7B"/>
    <w:pPr>
      <w:spacing w:before="120"/>
      <w:ind w:left="567"/>
    </w:pPr>
    <w:rPr>
      <w:rFonts w:ascii="Verdana" w:hAnsi="Verdana"/>
      <w:sz w:val="16"/>
      <w:szCs w:val="24"/>
      <w:lang w:eastAsia="en-US"/>
    </w:rPr>
  </w:style>
  <w:style w:type="paragraph" w:customStyle="1" w:styleId="TableText-numbers">
    <w:name w:val="Table Text - numbers"/>
    <w:basedOn w:val="TableText"/>
    <w:semiHidden/>
    <w:rsid w:val="00485D7B"/>
    <w:pPr>
      <w:numPr>
        <w:numId w:val="39"/>
      </w:numPr>
      <w:tabs>
        <w:tab w:val="clear" w:pos="360"/>
        <w:tab w:val="num" w:pos="142"/>
        <w:tab w:val="num" w:pos="1492"/>
      </w:tabs>
      <w:spacing w:before="40" w:after="40"/>
      <w:ind w:left="1492" w:hanging="360"/>
    </w:pPr>
    <w:rPr>
      <w:szCs w:val="24"/>
    </w:rPr>
  </w:style>
  <w:style w:type="paragraph" w:customStyle="1" w:styleId="BodyText-List">
    <w:name w:val="Body Text - List"/>
    <w:semiHidden/>
    <w:rsid w:val="00485D7B"/>
    <w:pPr>
      <w:numPr>
        <w:numId w:val="42"/>
      </w:numPr>
      <w:spacing w:after="120"/>
    </w:pPr>
    <w:rPr>
      <w:rFonts w:ascii="Verdana" w:hAnsi="Verdana"/>
      <w:sz w:val="24"/>
      <w:szCs w:val="24"/>
      <w:lang w:eastAsia="en-US"/>
    </w:rPr>
  </w:style>
  <w:style w:type="paragraph" w:customStyle="1" w:styleId="BodyText-NumberedList1">
    <w:name w:val="Body Text - Numbered List 1"/>
    <w:basedOn w:val="BodyText-NumberedLista"/>
    <w:semiHidden/>
    <w:rsid w:val="00485D7B"/>
    <w:pPr>
      <w:numPr>
        <w:ilvl w:val="0"/>
      </w:numPr>
      <w:tabs>
        <w:tab w:val="clear" w:pos="1417"/>
        <w:tab w:val="num" w:pos="360"/>
        <w:tab w:val="num" w:pos="720"/>
        <w:tab w:val="left" w:pos="1389"/>
      </w:tabs>
      <w:ind w:left="720" w:hanging="360"/>
    </w:pPr>
  </w:style>
  <w:style w:type="paragraph" w:customStyle="1" w:styleId="BodyText-NumberedLista">
    <w:name w:val="Body Text - Numbered List a"/>
    <w:link w:val="BodyText-NumberedListaCharChar"/>
    <w:semiHidden/>
    <w:rsid w:val="00485D7B"/>
    <w:pPr>
      <w:numPr>
        <w:ilvl w:val="1"/>
        <w:numId w:val="46"/>
      </w:numPr>
      <w:spacing w:before="60" w:after="60"/>
    </w:pPr>
    <w:rPr>
      <w:rFonts w:ascii="Verdana" w:hAnsi="Verdana"/>
      <w:sz w:val="24"/>
      <w:szCs w:val="24"/>
      <w:lang w:eastAsia="en-US"/>
    </w:rPr>
  </w:style>
  <w:style w:type="paragraph" w:customStyle="1" w:styleId="TableText-ListItalics">
    <w:name w:val="Table Text - List Italics"/>
    <w:semiHidden/>
    <w:rsid w:val="00485D7B"/>
    <w:pPr>
      <w:numPr>
        <w:numId w:val="38"/>
      </w:numPr>
      <w:spacing w:before="60" w:after="60"/>
    </w:pPr>
    <w:rPr>
      <w:rFonts w:ascii="Verdana" w:hAnsi="Verdana"/>
      <w:i/>
      <w:kern w:val="22"/>
      <w:sz w:val="18"/>
      <w:szCs w:val="18"/>
      <w:lang w:eastAsia="en-US"/>
    </w:rPr>
  </w:style>
  <w:style w:type="paragraph" w:customStyle="1" w:styleId="Reporttitle">
    <w:name w:val="Report title"/>
    <w:next w:val="Titledateandversion"/>
    <w:semiHidden/>
    <w:rsid w:val="00485D7B"/>
    <w:pPr>
      <w:spacing w:before="120" w:after="120"/>
    </w:pPr>
    <w:rPr>
      <w:rFonts w:ascii="Times" w:hAnsi="Times"/>
      <w:color w:val="52006B"/>
      <w:sz w:val="80"/>
      <w:szCs w:val="96"/>
    </w:rPr>
  </w:style>
  <w:style w:type="paragraph" w:customStyle="1" w:styleId="Titledateandversion">
    <w:name w:val="Title date and version"/>
    <w:semiHidden/>
    <w:rsid w:val="00485D7B"/>
    <w:rPr>
      <w:rFonts w:ascii="Times" w:hAnsi="Times"/>
      <w:color w:val="87ADB0"/>
      <w:sz w:val="22"/>
      <w:szCs w:val="30"/>
    </w:rPr>
  </w:style>
  <w:style w:type="paragraph" w:customStyle="1" w:styleId="Subtitle0">
    <w:name w:val="Sub title"/>
    <w:semiHidden/>
    <w:rsid w:val="00485D7B"/>
    <w:pPr>
      <w:spacing w:after="240"/>
    </w:pPr>
    <w:rPr>
      <w:rFonts w:ascii="Times" w:hAnsi="Times"/>
      <w:color w:val="52006B"/>
      <w:sz w:val="40"/>
      <w:szCs w:val="40"/>
    </w:rPr>
  </w:style>
  <w:style w:type="paragraph" w:customStyle="1" w:styleId="Subtitle2">
    <w:name w:val="Sub title 2"/>
    <w:semiHidden/>
    <w:rsid w:val="00485D7B"/>
    <w:pPr>
      <w:pBdr>
        <w:top w:val="single" w:sz="8" w:space="1" w:color="52006B"/>
      </w:pBdr>
      <w:spacing w:before="240"/>
    </w:pPr>
    <w:rPr>
      <w:rFonts w:ascii="Times" w:hAnsi="Times"/>
      <w:color w:val="52006B"/>
      <w:sz w:val="40"/>
      <w:szCs w:val="40"/>
    </w:rPr>
  </w:style>
  <w:style w:type="paragraph" w:customStyle="1" w:styleId="Reporttitle2">
    <w:name w:val="Report_title 2"/>
    <w:semiHidden/>
    <w:rsid w:val="00485D7B"/>
    <w:pPr>
      <w:spacing w:before="120" w:after="120"/>
    </w:pPr>
    <w:rPr>
      <w:rFonts w:ascii="Times" w:hAnsi="Times"/>
      <w:color w:val="52006B"/>
      <w:sz w:val="44"/>
      <w:szCs w:val="96"/>
    </w:rPr>
  </w:style>
  <w:style w:type="paragraph" w:customStyle="1" w:styleId="TableText-Italics">
    <w:name w:val="Table Text - Italics"/>
    <w:semiHidden/>
    <w:rsid w:val="00485D7B"/>
    <w:pPr>
      <w:spacing w:before="60" w:after="60"/>
    </w:pPr>
    <w:rPr>
      <w:rFonts w:ascii="Verdana" w:hAnsi="Verdana"/>
      <w:i/>
      <w:sz w:val="18"/>
      <w:szCs w:val="18"/>
      <w:lang w:eastAsia="en-US"/>
    </w:rPr>
  </w:style>
  <w:style w:type="paragraph" w:customStyle="1" w:styleId="Heading-inTOC">
    <w:name w:val="Heading - in TOC"/>
    <w:next w:val="Normal"/>
    <w:link w:val="Heading-inTOCChar"/>
    <w:semiHidden/>
    <w:rsid w:val="00485D7B"/>
    <w:pPr>
      <w:keepNext/>
      <w:spacing w:before="360" w:after="240"/>
      <w:outlineLvl w:val="0"/>
    </w:pPr>
    <w:rPr>
      <w:rFonts w:ascii="Verdana" w:hAnsi="Verdana"/>
      <w:color w:val="52006B"/>
      <w:sz w:val="28"/>
      <w:szCs w:val="28"/>
      <w:lang w:eastAsia="en-US"/>
    </w:rPr>
  </w:style>
  <w:style w:type="paragraph" w:customStyle="1" w:styleId="TableText-BoldColour">
    <w:name w:val="Table Text - Bold Colour"/>
    <w:semiHidden/>
    <w:rsid w:val="00485D7B"/>
    <w:pPr>
      <w:spacing w:before="60" w:after="60"/>
    </w:pPr>
    <w:rPr>
      <w:rFonts w:ascii="Verdana" w:hAnsi="Verdana"/>
      <w:b/>
      <w:color w:val="52006B"/>
      <w:sz w:val="18"/>
      <w:szCs w:val="18"/>
      <w:lang w:eastAsia="en-US"/>
    </w:rPr>
  </w:style>
  <w:style w:type="paragraph" w:customStyle="1" w:styleId="Organisationname">
    <w:name w:val="Organisation name"/>
    <w:semiHidden/>
    <w:rsid w:val="00485D7B"/>
    <w:rPr>
      <w:rFonts w:ascii="Times" w:hAnsi="Times"/>
      <w:b/>
      <w:color w:val="52006B"/>
      <w:sz w:val="23"/>
      <w:szCs w:val="26"/>
      <w:lang w:eastAsia="en-US"/>
    </w:rPr>
  </w:style>
  <w:style w:type="paragraph" w:customStyle="1" w:styleId="Reporttitle-Centred">
    <w:name w:val="Report_title - Centred"/>
    <w:semiHidden/>
    <w:rsid w:val="00485D7B"/>
    <w:pPr>
      <w:spacing w:before="120" w:after="120"/>
      <w:jc w:val="center"/>
    </w:pPr>
    <w:rPr>
      <w:rFonts w:ascii="Times" w:hAnsi="Times"/>
      <w:color w:val="52006B"/>
      <w:sz w:val="80"/>
      <w:szCs w:val="96"/>
    </w:rPr>
  </w:style>
  <w:style w:type="paragraph" w:customStyle="1" w:styleId="Subtitle-Centred">
    <w:name w:val="Sub title - Centred"/>
    <w:semiHidden/>
    <w:rsid w:val="00485D7B"/>
    <w:pPr>
      <w:spacing w:after="240"/>
      <w:jc w:val="center"/>
    </w:pPr>
    <w:rPr>
      <w:rFonts w:ascii="Times" w:hAnsi="Times"/>
      <w:color w:val="52006B"/>
      <w:sz w:val="40"/>
      <w:szCs w:val="40"/>
    </w:rPr>
  </w:style>
  <w:style w:type="paragraph" w:customStyle="1" w:styleId="NoStyle">
    <w:name w:val="No Style"/>
    <w:link w:val="NoStyleCharChar"/>
    <w:semiHidden/>
    <w:rsid w:val="00485D7B"/>
    <w:pPr>
      <w:ind w:left="567"/>
    </w:pPr>
    <w:rPr>
      <w:rFonts w:ascii="Verdana" w:hAnsi="Verdana"/>
      <w:sz w:val="24"/>
      <w:szCs w:val="30"/>
    </w:rPr>
  </w:style>
  <w:style w:type="paragraph" w:customStyle="1" w:styleId="Heading-notinTOC">
    <w:name w:val="Heading - not in TOC"/>
    <w:next w:val="BodyText"/>
    <w:semiHidden/>
    <w:rsid w:val="00485D7B"/>
    <w:pPr>
      <w:keepNext/>
      <w:spacing w:before="360" w:after="240"/>
    </w:pPr>
    <w:rPr>
      <w:rFonts w:ascii="Verdana" w:hAnsi="Verdana"/>
      <w:color w:val="52006B"/>
      <w:sz w:val="28"/>
      <w:szCs w:val="28"/>
      <w:lang w:eastAsia="en-US"/>
    </w:rPr>
  </w:style>
  <w:style w:type="paragraph" w:customStyle="1" w:styleId="Footer-smalltext">
    <w:name w:val="Footer - small text"/>
    <w:semiHidden/>
    <w:rsid w:val="00485D7B"/>
    <w:pPr>
      <w:pBdr>
        <w:bottom w:val="single" w:sz="8" w:space="1" w:color="87ADB0"/>
      </w:pBdr>
    </w:pPr>
    <w:rPr>
      <w:rFonts w:ascii="Verdana" w:hAnsi="Verdana"/>
      <w:bCs/>
      <w:noProof/>
      <w:color w:val="52006B"/>
      <w:sz w:val="12"/>
      <w:szCs w:val="12"/>
      <w:lang w:eastAsia="en-US"/>
    </w:rPr>
  </w:style>
  <w:style w:type="paragraph" w:customStyle="1" w:styleId="TableTextSmall">
    <w:name w:val="Table Text Small"/>
    <w:semiHidden/>
    <w:rsid w:val="00485D7B"/>
    <w:pPr>
      <w:spacing w:before="60" w:after="60"/>
    </w:pPr>
    <w:rPr>
      <w:rFonts w:ascii="Verdana" w:hAnsi="Verdana"/>
      <w:sz w:val="16"/>
      <w:szCs w:val="18"/>
      <w:lang w:eastAsia="en-US"/>
    </w:rPr>
  </w:style>
  <w:style w:type="paragraph" w:customStyle="1" w:styleId="BodyText-List-RestrictedRelease">
    <w:name w:val="Body Text - List - Restricted Release"/>
    <w:semiHidden/>
    <w:rsid w:val="00485D7B"/>
    <w:pPr>
      <w:numPr>
        <w:numId w:val="34"/>
      </w:numPr>
      <w:spacing w:after="120"/>
    </w:pPr>
    <w:rPr>
      <w:rFonts w:ascii="Verdana" w:hAnsi="Verdana"/>
      <w:sz w:val="16"/>
      <w:szCs w:val="24"/>
      <w:lang w:val="en-US" w:eastAsia="en-US"/>
    </w:rPr>
  </w:style>
  <w:style w:type="character" w:customStyle="1" w:styleId="NoStyleCharChar">
    <w:name w:val="No Style Char Char"/>
    <w:link w:val="NoStyle"/>
    <w:semiHidden/>
    <w:locked/>
    <w:rsid w:val="00485D7B"/>
    <w:rPr>
      <w:rFonts w:ascii="Verdana" w:eastAsia="Times New Roman" w:hAnsi="Verdana"/>
      <w:sz w:val="30"/>
    </w:rPr>
  </w:style>
  <w:style w:type="paragraph" w:customStyle="1" w:styleId="BodyText-SmallCentredBold">
    <w:name w:val="Body Text - Small Centred Bold"/>
    <w:semiHidden/>
    <w:rsid w:val="00485D7B"/>
    <w:pPr>
      <w:spacing w:before="120" w:after="120"/>
      <w:ind w:left="567"/>
      <w:jc w:val="center"/>
    </w:pPr>
    <w:rPr>
      <w:rFonts w:ascii="Verdana" w:hAnsi="Verdana"/>
      <w:b/>
      <w:sz w:val="16"/>
      <w:szCs w:val="24"/>
      <w:lang w:eastAsia="en-US"/>
    </w:rPr>
  </w:style>
  <w:style w:type="paragraph" w:customStyle="1" w:styleId="FigureText">
    <w:name w:val="Figure Text"/>
    <w:semiHidden/>
    <w:rsid w:val="00485D7B"/>
    <w:pPr>
      <w:spacing w:after="120"/>
    </w:pPr>
    <w:rPr>
      <w:rFonts w:ascii="Verdana" w:hAnsi="Verdana"/>
      <w:sz w:val="18"/>
      <w:szCs w:val="24"/>
      <w:lang w:eastAsia="en-US"/>
    </w:rPr>
  </w:style>
  <w:style w:type="paragraph" w:customStyle="1" w:styleId="BodyText-Centred">
    <w:name w:val="Body Text - Centred"/>
    <w:semiHidden/>
    <w:rsid w:val="00485D7B"/>
    <w:pPr>
      <w:spacing w:before="120" w:after="120"/>
      <w:ind w:left="567"/>
      <w:jc w:val="center"/>
    </w:pPr>
    <w:rPr>
      <w:rFonts w:ascii="Verdana" w:hAnsi="Verdana"/>
      <w:sz w:val="24"/>
      <w:szCs w:val="24"/>
      <w:lang w:eastAsia="en-US"/>
    </w:rPr>
  </w:style>
  <w:style w:type="paragraph" w:customStyle="1" w:styleId="Heading-notinTOC-centred">
    <w:name w:val="Heading - not in TOC - centred"/>
    <w:next w:val="BodyText"/>
    <w:semiHidden/>
    <w:rsid w:val="00485D7B"/>
    <w:pPr>
      <w:keepNext/>
      <w:spacing w:before="360" w:after="240"/>
      <w:jc w:val="center"/>
    </w:pPr>
    <w:rPr>
      <w:rFonts w:ascii="Verdana" w:hAnsi="Verdana"/>
      <w:color w:val="52006B"/>
      <w:sz w:val="28"/>
      <w:szCs w:val="28"/>
      <w:lang w:eastAsia="en-US"/>
    </w:rPr>
  </w:style>
  <w:style w:type="paragraph" w:styleId="Index1">
    <w:name w:val="index 1"/>
    <w:basedOn w:val="Normal"/>
    <w:next w:val="Normal"/>
    <w:autoRedefine/>
    <w:uiPriority w:val="99"/>
    <w:semiHidden/>
    <w:rsid w:val="00485D7B"/>
    <w:pPr>
      <w:spacing w:after="0" w:line="240" w:lineRule="auto"/>
      <w:ind w:left="320" w:hanging="320"/>
    </w:pPr>
    <w:rPr>
      <w:rFonts w:ascii="Script MT Bold" w:hAnsi="Script MT Bold"/>
      <w:color w:val="FF0000"/>
      <w:sz w:val="24"/>
      <w:szCs w:val="20"/>
      <w:u w:val="single"/>
      <w:lang w:eastAsia="en-US"/>
    </w:rPr>
  </w:style>
  <w:style w:type="paragraph" w:styleId="Index2">
    <w:name w:val="index 2"/>
    <w:basedOn w:val="Normal"/>
    <w:next w:val="Normal"/>
    <w:autoRedefine/>
    <w:uiPriority w:val="99"/>
    <w:semiHidden/>
    <w:rsid w:val="00485D7B"/>
    <w:pPr>
      <w:spacing w:after="0" w:line="240" w:lineRule="auto"/>
      <w:ind w:left="640" w:hanging="320"/>
    </w:pPr>
    <w:rPr>
      <w:rFonts w:ascii="Script MT Bold" w:hAnsi="Script MT Bold"/>
      <w:color w:val="FF0000"/>
      <w:sz w:val="24"/>
      <w:szCs w:val="20"/>
      <w:u w:val="single"/>
      <w:lang w:eastAsia="en-US"/>
    </w:rPr>
  </w:style>
  <w:style w:type="paragraph" w:styleId="Index3">
    <w:name w:val="index 3"/>
    <w:basedOn w:val="Normal"/>
    <w:next w:val="Normal"/>
    <w:autoRedefine/>
    <w:uiPriority w:val="99"/>
    <w:semiHidden/>
    <w:rsid w:val="00485D7B"/>
    <w:pPr>
      <w:spacing w:after="0" w:line="240" w:lineRule="auto"/>
      <w:ind w:left="960" w:hanging="320"/>
    </w:pPr>
    <w:rPr>
      <w:rFonts w:ascii="Script MT Bold" w:hAnsi="Script MT Bold"/>
      <w:color w:val="FF0000"/>
      <w:sz w:val="24"/>
      <w:szCs w:val="20"/>
      <w:u w:val="single"/>
      <w:lang w:eastAsia="en-US"/>
    </w:rPr>
  </w:style>
  <w:style w:type="paragraph" w:styleId="Index4">
    <w:name w:val="index 4"/>
    <w:basedOn w:val="Normal"/>
    <w:next w:val="Normal"/>
    <w:autoRedefine/>
    <w:uiPriority w:val="99"/>
    <w:semiHidden/>
    <w:rsid w:val="00485D7B"/>
    <w:pPr>
      <w:spacing w:after="0" w:line="240" w:lineRule="auto"/>
      <w:ind w:left="1280" w:hanging="320"/>
    </w:pPr>
    <w:rPr>
      <w:rFonts w:ascii="Script MT Bold" w:hAnsi="Script MT Bold"/>
      <w:color w:val="FF0000"/>
      <w:sz w:val="24"/>
      <w:szCs w:val="20"/>
      <w:u w:val="single"/>
      <w:lang w:eastAsia="en-US"/>
    </w:rPr>
  </w:style>
  <w:style w:type="paragraph" w:styleId="Index5">
    <w:name w:val="index 5"/>
    <w:basedOn w:val="Normal"/>
    <w:next w:val="Normal"/>
    <w:autoRedefine/>
    <w:uiPriority w:val="99"/>
    <w:semiHidden/>
    <w:rsid w:val="00485D7B"/>
    <w:pPr>
      <w:spacing w:after="0" w:line="240" w:lineRule="auto"/>
      <w:ind w:left="1600" w:hanging="320"/>
    </w:pPr>
    <w:rPr>
      <w:rFonts w:ascii="Script MT Bold" w:hAnsi="Script MT Bold"/>
      <w:color w:val="FF0000"/>
      <w:sz w:val="24"/>
      <w:szCs w:val="20"/>
      <w:u w:val="single"/>
      <w:lang w:eastAsia="en-US"/>
    </w:rPr>
  </w:style>
  <w:style w:type="paragraph" w:styleId="Index6">
    <w:name w:val="index 6"/>
    <w:basedOn w:val="Normal"/>
    <w:next w:val="Normal"/>
    <w:autoRedefine/>
    <w:uiPriority w:val="99"/>
    <w:semiHidden/>
    <w:rsid w:val="00485D7B"/>
    <w:pPr>
      <w:spacing w:after="0" w:line="240" w:lineRule="auto"/>
      <w:ind w:left="1920" w:hanging="320"/>
    </w:pPr>
    <w:rPr>
      <w:rFonts w:ascii="Script MT Bold" w:hAnsi="Script MT Bold"/>
      <w:color w:val="FF0000"/>
      <w:sz w:val="24"/>
      <w:szCs w:val="20"/>
      <w:u w:val="single"/>
      <w:lang w:eastAsia="en-US"/>
    </w:rPr>
  </w:style>
  <w:style w:type="paragraph" w:styleId="Index7">
    <w:name w:val="index 7"/>
    <w:basedOn w:val="Normal"/>
    <w:next w:val="Normal"/>
    <w:autoRedefine/>
    <w:uiPriority w:val="99"/>
    <w:semiHidden/>
    <w:rsid w:val="00485D7B"/>
    <w:pPr>
      <w:spacing w:after="0" w:line="240" w:lineRule="auto"/>
      <w:ind w:left="2240" w:hanging="320"/>
    </w:pPr>
    <w:rPr>
      <w:rFonts w:ascii="Script MT Bold" w:hAnsi="Script MT Bold"/>
      <w:color w:val="FF0000"/>
      <w:sz w:val="24"/>
      <w:szCs w:val="20"/>
      <w:u w:val="single"/>
      <w:lang w:eastAsia="en-US"/>
    </w:rPr>
  </w:style>
  <w:style w:type="paragraph" w:styleId="Index8">
    <w:name w:val="index 8"/>
    <w:basedOn w:val="Normal"/>
    <w:next w:val="Normal"/>
    <w:autoRedefine/>
    <w:uiPriority w:val="99"/>
    <w:semiHidden/>
    <w:rsid w:val="00485D7B"/>
    <w:pPr>
      <w:spacing w:after="0" w:line="240" w:lineRule="auto"/>
      <w:ind w:left="2560" w:hanging="320"/>
    </w:pPr>
    <w:rPr>
      <w:rFonts w:ascii="Script MT Bold" w:hAnsi="Script MT Bold"/>
      <w:color w:val="FF0000"/>
      <w:sz w:val="24"/>
      <w:szCs w:val="20"/>
      <w:u w:val="single"/>
      <w:lang w:eastAsia="en-US"/>
    </w:rPr>
  </w:style>
  <w:style w:type="paragraph" w:styleId="Index9">
    <w:name w:val="index 9"/>
    <w:basedOn w:val="Normal"/>
    <w:next w:val="Normal"/>
    <w:autoRedefine/>
    <w:uiPriority w:val="99"/>
    <w:semiHidden/>
    <w:rsid w:val="00485D7B"/>
    <w:pPr>
      <w:spacing w:after="0" w:line="240" w:lineRule="auto"/>
      <w:ind w:left="2880" w:hanging="320"/>
    </w:pPr>
    <w:rPr>
      <w:rFonts w:ascii="Script MT Bold" w:hAnsi="Script MT Bold"/>
      <w:color w:val="FF0000"/>
      <w:sz w:val="24"/>
      <w:szCs w:val="20"/>
      <w:u w:val="single"/>
      <w:lang w:eastAsia="en-US"/>
    </w:rPr>
  </w:style>
  <w:style w:type="paragraph" w:styleId="IndexHeading">
    <w:name w:val="index heading"/>
    <w:basedOn w:val="Normal"/>
    <w:next w:val="Index1"/>
    <w:uiPriority w:val="99"/>
    <w:semiHidden/>
    <w:rsid w:val="00485D7B"/>
    <w:pPr>
      <w:spacing w:after="0" w:line="240" w:lineRule="auto"/>
    </w:pPr>
    <w:rPr>
      <w:rFonts w:ascii="Script MT Bold" w:hAnsi="Script MT Bold" w:cs="Arial"/>
      <w:b/>
      <w:bCs/>
      <w:color w:val="FF0000"/>
      <w:sz w:val="24"/>
      <w:szCs w:val="20"/>
      <w:u w:val="single"/>
      <w:lang w:eastAsia="en-US"/>
    </w:rPr>
  </w:style>
  <w:style w:type="paragraph" w:styleId="MacroText">
    <w:name w:val="macro"/>
    <w:link w:val="MacroTextChar"/>
    <w:uiPriority w:val="99"/>
    <w:semiHidden/>
    <w:rsid w:val="00485D7B"/>
    <w:pPr>
      <w:tabs>
        <w:tab w:val="left" w:pos="480"/>
        <w:tab w:val="left" w:pos="960"/>
        <w:tab w:val="left" w:pos="1440"/>
        <w:tab w:val="left" w:pos="1920"/>
        <w:tab w:val="left" w:pos="2400"/>
        <w:tab w:val="left" w:pos="2880"/>
        <w:tab w:val="left" w:pos="3360"/>
        <w:tab w:val="left" w:pos="3840"/>
        <w:tab w:val="left" w:pos="4320"/>
      </w:tabs>
    </w:pPr>
    <w:rPr>
      <w:rFonts w:ascii="Script MT Bold" w:hAnsi="Script MT Bold" w:cs="Courier New"/>
      <w:color w:val="FF0000"/>
      <w:sz w:val="32"/>
      <w:szCs w:val="24"/>
      <w:u w:val="single"/>
      <w:lang w:eastAsia="en-US"/>
    </w:rPr>
  </w:style>
  <w:style w:type="character" w:customStyle="1" w:styleId="MacroTextChar">
    <w:name w:val="Macro Text Char"/>
    <w:link w:val="MacroText"/>
    <w:uiPriority w:val="99"/>
    <w:semiHidden/>
    <w:locked/>
    <w:rsid w:val="00485D7B"/>
    <w:rPr>
      <w:rFonts w:ascii="Script MT Bold" w:hAnsi="Script MT Bold" w:cs="Courier New"/>
      <w:color w:val="FF0000"/>
      <w:sz w:val="24"/>
      <w:szCs w:val="24"/>
      <w:u w:val="single"/>
      <w:lang w:val="x-none" w:eastAsia="en-US"/>
    </w:rPr>
  </w:style>
  <w:style w:type="paragraph" w:styleId="TableofAuthorities">
    <w:name w:val="table of authorities"/>
    <w:basedOn w:val="Normal"/>
    <w:next w:val="Normal"/>
    <w:uiPriority w:val="99"/>
    <w:semiHidden/>
    <w:rsid w:val="00485D7B"/>
    <w:pPr>
      <w:spacing w:after="0" w:line="240" w:lineRule="auto"/>
      <w:ind w:left="320" w:hanging="320"/>
    </w:pPr>
    <w:rPr>
      <w:rFonts w:ascii="Script MT Bold" w:hAnsi="Script MT Bold"/>
      <w:color w:val="FF0000"/>
      <w:sz w:val="24"/>
      <w:szCs w:val="20"/>
      <w:u w:val="single"/>
      <w:lang w:eastAsia="en-US"/>
    </w:rPr>
  </w:style>
  <w:style w:type="paragraph" w:styleId="TOAHeading">
    <w:name w:val="toa heading"/>
    <w:basedOn w:val="Normal"/>
    <w:next w:val="Normal"/>
    <w:uiPriority w:val="99"/>
    <w:semiHidden/>
    <w:rsid w:val="00485D7B"/>
    <w:pPr>
      <w:spacing w:before="120" w:after="0" w:line="240" w:lineRule="auto"/>
    </w:pPr>
    <w:rPr>
      <w:rFonts w:ascii="Script MT Bold" w:hAnsi="Script MT Bold" w:cs="Arial"/>
      <w:b/>
      <w:bCs/>
      <w:color w:val="FF0000"/>
      <w:sz w:val="24"/>
      <w:szCs w:val="24"/>
      <w:u w:val="single"/>
      <w:lang w:eastAsia="en-US"/>
    </w:rPr>
  </w:style>
  <w:style w:type="paragraph" w:customStyle="1" w:styleId="TableText-ListIndent">
    <w:name w:val="Table Text - List Indent"/>
    <w:semiHidden/>
    <w:rsid w:val="00485D7B"/>
    <w:pPr>
      <w:numPr>
        <w:numId w:val="37"/>
      </w:numPr>
      <w:spacing w:before="60" w:after="60"/>
    </w:pPr>
    <w:rPr>
      <w:rFonts w:ascii="Verdana" w:hAnsi="Verdana"/>
      <w:sz w:val="18"/>
      <w:szCs w:val="18"/>
      <w:lang w:eastAsia="en-US"/>
    </w:rPr>
  </w:style>
  <w:style w:type="character" w:customStyle="1" w:styleId="BodyText-RestrictedReleaseCharCharChar">
    <w:name w:val="Body Text - Restricted Release Char Char Char"/>
    <w:semiHidden/>
    <w:rsid w:val="00485D7B"/>
    <w:rPr>
      <w:rFonts w:ascii="Verdana" w:eastAsia="Times New Roman" w:hAnsi="Verdana"/>
      <w:sz w:val="30"/>
      <w:lang w:val="en-AU" w:eastAsia="en-AU"/>
    </w:rPr>
  </w:style>
  <w:style w:type="character" w:customStyle="1" w:styleId="NoStyleCharacter">
    <w:name w:val="No Style Character"/>
    <w:semiHidden/>
    <w:rsid w:val="00485D7B"/>
    <w:rPr>
      <w:rFonts w:eastAsia="Times New Roman"/>
    </w:rPr>
  </w:style>
  <w:style w:type="character" w:customStyle="1" w:styleId="BodyText-NumberedListaCharChar">
    <w:name w:val="Body Text - Numbered List a Char Char"/>
    <w:link w:val="BodyText-NumberedLista"/>
    <w:semiHidden/>
    <w:locked/>
    <w:rsid w:val="00485D7B"/>
    <w:rPr>
      <w:rFonts w:ascii="Verdana" w:hAnsi="Verdana"/>
      <w:sz w:val="24"/>
      <w:szCs w:val="24"/>
      <w:lang w:eastAsia="en-US"/>
    </w:rPr>
  </w:style>
  <w:style w:type="paragraph" w:customStyle="1" w:styleId="Heading-notinTOC-RestrictedText">
    <w:name w:val="Heading - not in TOC - Restricted Text"/>
    <w:next w:val="BodyText"/>
    <w:semiHidden/>
    <w:rsid w:val="00485D7B"/>
    <w:pPr>
      <w:keepNext/>
      <w:spacing w:after="120"/>
    </w:pPr>
    <w:rPr>
      <w:rFonts w:ascii="Verdana" w:hAnsi="Verdana"/>
      <w:b/>
      <w:color w:val="52006B"/>
      <w:sz w:val="24"/>
      <w:szCs w:val="28"/>
      <w:lang w:eastAsia="en-US"/>
    </w:rPr>
  </w:style>
  <w:style w:type="character" w:customStyle="1" w:styleId="BodyText-NumberedListiCharChar">
    <w:name w:val="Body Text - Numbered List i Char Char"/>
    <w:link w:val="BodyText-NumberedListi"/>
    <w:semiHidden/>
    <w:locked/>
    <w:rsid w:val="00485D7B"/>
    <w:rPr>
      <w:rFonts w:ascii="Verdana" w:eastAsia="Times New Roman" w:hAnsi="Verdana"/>
      <w:sz w:val="24"/>
      <w:szCs w:val="24"/>
      <w:lang w:eastAsia="en-US"/>
    </w:rPr>
  </w:style>
  <w:style w:type="paragraph" w:customStyle="1" w:styleId="TableHeaderVertical">
    <w:name w:val="Table Header Vertical"/>
    <w:basedOn w:val="TableHeader"/>
    <w:semiHidden/>
    <w:rsid w:val="00485D7B"/>
    <w:pPr>
      <w:keepNext w:val="0"/>
      <w:spacing w:before="60" w:after="60"/>
    </w:pPr>
    <w:rPr>
      <w:sz w:val="18"/>
    </w:rPr>
  </w:style>
  <w:style w:type="character" w:customStyle="1" w:styleId="Bullet-Orange">
    <w:name w:val="Bullet - Orange"/>
    <w:semiHidden/>
    <w:rsid w:val="00485D7B"/>
    <w:rPr>
      <w:rFonts w:eastAsia="Times New Roman"/>
      <w:color w:val="FF9900"/>
    </w:rPr>
  </w:style>
  <w:style w:type="character" w:customStyle="1" w:styleId="Bullet-Red">
    <w:name w:val="Bullet - Red"/>
    <w:semiHidden/>
    <w:rsid w:val="00485D7B"/>
    <w:rPr>
      <w:rFonts w:eastAsia="Times New Roman"/>
      <w:color w:val="FF0000"/>
    </w:rPr>
  </w:style>
  <w:style w:type="character" w:customStyle="1" w:styleId="Bullet-Blue">
    <w:name w:val="Bullet - Blue"/>
    <w:semiHidden/>
    <w:rsid w:val="00485D7B"/>
    <w:rPr>
      <w:rFonts w:eastAsia="Times New Roman"/>
      <w:color w:val="0000FF"/>
    </w:rPr>
  </w:style>
  <w:style w:type="character" w:customStyle="1" w:styleId="Bullet-Green">
    <w:name w:val="Bullet - Green"/>
    <w:semiHidden/>
    <w:rsid w:val="00485D7B"/>
    <w:rPr>
      <w:rFonts w:eastAsia="Times New Roman"/>
      <w:color w:val="008000"/>
    </w:rPr>
  </w:style>
  <w:style w:type="paragraph" w:customStyle="1" w:styleId="GuidanceText">
    <w:name w:val="Guidance Text"/>
    <w:next w:val="BodyText"/>
    <w:link w:val="GuidanceTextChar"/>
    <w:semiHidden/>
    <w:rsid w:val="00485D7B"/>
    <w:pPr>
      <w:spacing w:before="120" w:after="120"/>
      <w:ind w:left="567"/>
    </w:pPr>
    <w:rPr>
      <w:rFonts w:ascii="Verdana" w:hAnsi="Verdana"/>
      <w:i/>
      <w:color w:val="0000FF"/>
      <w:sz w:val="24"/>
      <w:szCs w:val="24"/>
      <w:lang w:eastAsia="en-US"/>
    </w:rPr>
  </w:style>
  <w:style w:type="character" w:customStyle="1" w:styleId="GuidanceTextChar">
    <w:name w:val="Guidance Text Char"/>
    <w:link w:val="GuidanceText"/>
    <w:semiHidden/>
    <w:locked/>
    <w:rsid w:val="00485D7B"/>
    <w:rPr>
      <w:rFonts w:ascii="Verdana" w:hAnsi="Verdana"/>
      <w:i/>
      <w:color w:val="0000FF"/>
      <w:sz w:val="24"/>
      <w:lang w:val="x-none" w:eastAsia="en-US"/>
    </w:rPr>
  </w:style>
  <w:style w:type="paragraph" w:customStyle="1" w:styleId="Header-Right">
    <w:name w:val="Header - Right"/>
    <w:link w:val="Header-RightCharChar"/>
    <w:semiHidden/>
    <w:rsid w:val="00485D7B"/>
    <w:pPr>
      <w:pBdr>
        <w:bottom w:val="single" w:sz="8" w:space="1" w:color="87ADB0"/>
      </w:pBdr>
      <w:jc w:val="right"/>
    </w:pPr>
    <w:rPr>
      <w:rFonts w:ascii="Frutiger 45 Light" w:hAnsi="Frutiger 45 Light"/>
      <w:sz w:val="24"/>
      <w:szCs w:val="24"/>
    </w:rPr>
  </w:style>
  <w:style w:type="character" w:customStyle="1" w:styleId="Header-RightCharChar">
    <w:name w:val="Header - Right Char Char"/>
    <w:link w:val="Header-Right"/>
    <w:semiHidden/>
    <w:locked/>
    <w:rsid w:val="00485D7B"/>
    <w:rPr>
      <w:rFonts w:ascii="Frutiger 45 Light" w:hAnsi="Frutiger 45 Light"/>
      <w:sz w:val="24"/>
    </w:rPr>
  </w:style>
  <w:style w:type="paragraph" w:customStyle="1" w:styleId="TableGuidanceText">
    <w:name w:val="Table Guidance Text"/>
    <w:next w:val="TableText"/>
    <w:semiHidden/>
    <w:rsid w:val="00485D7B"/>
    <w:pPr>
      <w:spacing w:before="60" w:after="60"/>
    </w:pPr>
    <w:rPr>
      <w:rFonts w:ascii="Verdana" w:hAnsi="Verdana"/>
      <w:i/>
      <w:color w:val="0000FF"/>
      <w:sz w:val="18"/>
      <w:szCs w:val="18"/>
      <w:lang w:eastAsia="en-US"/>
    </w:rPr>
  </w:style>
  <w:style w:type="character" w:customStyle="1" w:styleId="InstructionBlue">
    <w:name w:val="Instruction Blue"/>
    <w:semiHidden/>
    <w:rsid w:val="00485D7B"/>
    <w:rPr>
      <w:rFonts w:ascii="Verdana" w:eastAsia="Times New Roman" w:hAnsi="Verdana"/>
      <w:b/>
      <w:color w:val="333399"/>
      <w:sz w:val="18"/>
    </w:rPr>
  </w:style>
  <w:style w:type="paragraph" w:customStyle="1" w:styleId="Level1-Heading">
    <w:name w:val="Level 1 - Heading"/>
    <w:next w:val="LegalBodyText"/>
    <w:semiHidden/>
    <w:rsid w:val="00485D7B"/>
    <w:pPr>
      <w:keepNext/>
      <w:numPr>
        <w:numId w:val="41"/>
      </w:numPr>
      <w:spacing w:before="120" w:after="120"/>
      <w:outlineLvl w:val="0"/>
    </w:pPr>
    <w:rPr>
      <w:rFonts w:ascii="Verdana" w:hAnsi="Verdana"/>
      <w:b/>
      <w:caps/>
      <w:color w:val="52006B"/>
      <w:sz w:val="24"/>
      <w:szCs w:val="21"/>
      <w:lang w:eastAsia="en-US"/>
    </w:rPr>
  </w:style>
  <w:style w:type="paragraph" w:customStyle="1" w:styleId="Level2-Heading">
    <w:name w:val="Level 2 - Heading"/>
    <w:next w:val="LegalBodyText"/>
    <w:semiHidden/>
    <w:rsid w:val="00485D7B"/>
    <w:pPr>
      <w:keepNext/>
      <w:numPr>
        <w:ilvl w:val="1"/>
        <w:numId w:val="41"/>
      </w:numPr>
      <w:spacing w:before="120" w:after="120"/>
      <w:outlineLvl w:val="1"/>
    </w:pPr>
    <w:rPr>
      <w:rFonts w:ascii="Verdana" w:hAnsi="Verdana"/>
      <w:b/>
      <w:color w:val="52006B"/>
      <w:sz w:val="24"/>
      <w:szCs w:val="24"/>
      <w:lang w:eastAsia="en-US"/>
    </w:rPr>
  </w:style>
  <w:style w:type="paragraph" w:customStyle="1" w:styleId="Level3-Heading">
    <w:name w:val="Level 3 - Heading"/>
    <w:next w:val="LegalBodyText"/>
    <w:semiHidden/>
    <w:rsid w:val="00485D7B"/>
    <w:pPr>
      <w:keepNext/>
      <w:numPr>
        <w:ilvl w:val="2"/>
        <w:numId w:val="41"/>
      </w:numPr>
      <w:spacing w:before="120" w:after="120"/>
      <w:outlineLvl w:val="2"/>
    </w:pPr>
    <w:rPr>
      <w:rFonts w:ascii="Verdana" w:hAnsi="Verdana"/>
      <w:color w:val="52006B"/>
      <w:sz w:val="24"/>
      <w:szCs w:val="24"/>
      <w:lang w:eastAsia="en-US"/>
    </w:rPr>
  </w:style>
  <w:style w:type="paragraph" w:customStyle="1" w:styleId="Level4-Heading">
    <w:name w:val="Level 4 - Heading"/>
    <w:next w:val="LegalBodyText"/>
    <w:semiHidden/>
    <w:rsid w:val="00485D7B"/>
    <w:pPr>
      <w:keepNext/>
      <w:numPr>
        <w:ilvl w:val="3"/>
        <w:numId w:val="41"/>
      </w:numPr>
      <w:tabs>
        <w:tab w:val="left" w:pos="1134"/>
        <w:tab w:val="left" w:pos="1418"/>
      </w:tabs>
      <w:spacing w:before="120" w:after="120"/>
      <w:outlineLvl w:val="3"/>
    </w:pPr>
    <w:rPr>
      <w:rFonts w:ascii="Verdana" w:hAnsi="Verdana"/>
      <w:color w:val="52006B"/>
      <w:sz w:val="24"/>
      <w:szCs w:val="24"/>
      <w:lang w:eastAsia="en-US"/>
    </w:rPr>
  </w:style>
  <w:style w:type="paragraph" w:customStyle="1" w:styleId="LevelBody1-a">
    <w:name w:val="Level Body 1 - (a)"/>
    <w:semiHidden/>
    <w:rsid w:val="00485D7B"/>
    <w:pPr>
      <w:numPr>
        <w:ilvl w:val="4"/>
        <w:numId w:val="41"/>
      </w:numPr>
      <w:spacing w:before="120" w:after="120"/>
    </w:pPr>
    <w:rPr>
      <w:rFonts w:ascii="Verdana" w:hAnsi="Verdana"/>
      <w:sz w:val="24"/>
      <w:szCs w:val="24"/>
      <w:lang w:eastAsia="en-US"/>
    </w:rPr>
  </w:style>
  <w:style w:type="paragraph" w:customStyle="1" w:styleId="LevelBody1-atext">
    <w:name w:val="Level Body 1 - (a) text"/>
    <w:link w:val="LevelBody1-atextChar"/>
    <w:semiHidden/>
    <w:rsid w:val="00485D7B"/>
    <w:pPr>
      <w:spacing w:before="120" w:after="120"/>
      <w:ind w:left="1418"/>
    </w:pPr>
    <w:rPr>
      <w:rFonts w:ascii="Verdana" w:hAnsi="Verdana"/>
      <w:sz w:val="24"/>
      <w:szCs w:val="24"/>
      <w:lang w:eastAsia="en-US"/>
    </w:rPr>
  </w:style>
  <w:style w:type="paragraph" w:customStyle="1" w:styleId="LevelBody2-i">
    <w:name w:val="Level Body 2 - (i)"/>
    <w:semiHidden/>
    <w:rsid w:val="00485D7B"/>
    <w:pPr>
      <w:numPr>
        <w:ilvl w:val="5"/>
        <w:numId w:val="41"/>
      </w:numPr>
      <w:spacing w:before="120" w:after="120"/>
    </w:pPr>
    <w:rPr>
      <w:rFonts w:ascii="Verdana" w:hAnsi="Verdana"/>
      <w:sz w:val="24"/>
      <w:szCs w:val="24"/>
      <w:lang w:eastAsia="en-US"/>
    </w:rPr>
  </w:style>
  <w:style w:type="paragraph" w:customStyle="1" w:styleId="LevelBody2-itext">
    <w:name w:val="Level Body 2 - (i) text"/>
    <w:link w:val="LevelBody2-itextChar"/>
    <w:semiHidden/>
    <w:rsid w:val="00485D7B"/>
    <w:pPr>
      <w:spacing w:before="120" w:after="120"/>
      <w:ind w:left="1985"/>
    </w:pPr>
    <w:rPr>
      <w:rFonts w:ascii="Verdana" w:hAnsi="Verdana"/>
      <w:sz w:val="24"/>
      <w:szCs w:val="24"/>
      <w:lang w:eastAsia="en-US"/>
    </w:rPr>
  </w:style>
  <w:style w:type="paragraph" w:customStyle="1" w:styleId="LevelBody3-A">
    <w:name w:val="Level Body 3 - (A)"/>
    <w:semiHidden/>
    <w:rsid w:val="00485D7B"/>
    <w:pPr>
      <w:numPr>
        <w:ilvl w:val="6"/>
        <w:numId w:val="41"/>
      </w:numPr>
      <w:spacing w:before="120" w:after="120"/>
    </w:pPr>
    <w:rPr>
      <w:rFonts w:ascii="Verdana" w:hAnsi="Verdana"/>
      <w:sz w:val="24"/>
      <w:szCs w:val="24"/>
      <w:lang w:eastAsia="en-US"/>
    </w:rPr>
  </w:style>
  <w:style w:type="paragraph" w:customStyle="1" w:styleId="LevelBody3-Atext">
    <w:name w:val="Level Body 3 - (A) text"/>
    <w:semiHidden/>
    <w:rsid w:val="00485D7B"/>
    <w:pPr>
      <w:spacing w:before="120" w:after="120"/>
      <w:ind w:left="2552"/>
    </w:pPr>
    <w:rPr>
      <w:rFonts w:ascii="Verdana" w:hAnsi="Verdana"/>
      <w:sz w:val="24"/>
      <w:szCs w:val="24"/>
      <w:lang w:eastAsia="en-US"/>
    </w:rPr>
  </w:style>
  <w:style w:type="paragraph" w:customStyle="1" w:styleId="LevelBody4-I">
    <w:name w:val="Level Body 4 - (I)"/>
    <w:semiHidden/>
    <w:rsid w:val="00485D7B"/>
    <w:pPr>
      <w:numPr>
        <w:ilvl w:val="7"/>
        <w:numId w:val="41"/>
      </w:numPr>
      <w:spacing w:before="120" w:after="120"/>
    </w:pPr>
    <w:rPr>
      <w:rFonts w:ascii="Verdana" w:hAnsi="Verdana"/>
      <w:sz w:val="24"/>
      <w:szCs w:val="24"/>
      <w:lang w:eastAsia="en-US"/>
    </w:rPr>
  </w:style>
  <w:style w:type="paragraph" w:customStyle="1" w:styleId="LevelBody4-Itext">
    <w:name w:val="Level Body 4 - (I) text"/>
    <w:link w:val="LevelBody4-ItextChar"/>
    <w:semiHidden/>
    <w:rsid w:val="00485D7B"/>
    <w:pPr>
      <w:spacing w:before="120" w:after="120"/>
      <w:ind w:left="3119"/>
    </w:pPr>
    <w:rPr>
      <w:rFonts w:ascii="Verdana" w:hAnsi="Verdana"/>
      <w:sz w:val="24"/>
      <w:szCs w:val="24"/>
      <w:lang w:eastAsia="en-US"/>
    </w:rPr>
  </w:style>
  <w:style w:type="paragraph" w:customStyle="1" w:styleId="Table-Number">
    <w:name w:val="Table - Number"/>
    <w:semiHidden/>
    <w:rsid w:val="00485D7B"/>
    <w:pPr>
      <w:numPr>
        <w:numId w:val="44"/>
      </w:numPr>
      <w:spacing w:before="60" w:after="60"/>
    </w:pPr>
    <w:rPr>
      <w:rFonts w:ascii="Verdana" w:hAnsi="Verdana"/>
      <w:sz w:val="18"/>
      <w:szCs w:val="18"/>
      <w:lang w:eastAsia="en-US"/>
    </w:rPr>
  </w:style>
  <w:style w:type="paragraph" w:customStyle="1" w:styleId="TableText-List-Level1">
    <w:name w:val="Table Text - List - Level 1"/>
    <w:semiHidden/>
    <w:rsid w:val="00485D7B"/>
    <w:pPr>
      <w:numPr>
        <w:ilvl w:val="1"/>
        <w:numId w:val="44"/>
      </w:numPr>
      <w:spacing w:before="60" w:after="60"/>
    </w:pPr>
    <w:rPr>
      <w:rFonts w:ascii="Verdana" w:hAnsi="Verdana"/>
      <w:sz w:val="18"/>
      <w:szCs w:val="18"/>
      <w:lang w:eastAsia="en-US"/>
    </w:rPr>
  </w:style>
  <w:style w:type="paragraph" w:customStyle="1" w:styleId="TableText-List-Level2">
    <w:name w:val="Table Text - List - Level 2"/>
    <w:semiHidden/>
    <w:rsid w:val="00485D7B"/>
    <w:pPr>
      <w:numPr>
        <w:ilvl w:val="2"/>
        <w:numId w:val="44"/>
      </w:numPr>
      <w:spacing w:before="60" w:after="60"/>
    </w:pPr>
    <w:rPr>
      <w:rFonts w:ascii="Verdana" w:hAnsi="Verdana"/>
      <w:sz w:val="18"/>
      <w:szCs w:val="18"/>
      <w:lang w:eastAsia="en-US"/>
    </w:rPr>
  </w:style>
  <w:style w:type="paragraph" w:customStyle="1" w:styleId="LegalBodyText">
    <w:name w:val="Legal Body Text"/>
    <w:basedOn w:val="BodyText"/>
    <w:semiHidden/>
    <w:rsid w:val="00485D7B"/>
    <w:pPr>
      <w:spacing w:before="120"/>
      <w:ind w:left="851"/>
    </w:pPr>
    <w:rPr>
      <w:rFonts w:ascii="Verdana" w:hAnsi="Verdana"/>
      <w:sz w:val="20"/>
      <w:szCs w:val="24"/>
      <w:lang w:eastAsia="en-AU"/>
    </w:rPr>
  </w:style>
  <w:style w:type="paragraph" w:customStyle="1" w:styleId="BodyText-FarLeft">
    <w:name w:val="Body Text - Far Left"/>
    <w:basedOn w:val="BodyText"/>
    <w:semiHidden/>
    <w:rsid w:val="00485D7B"/>
    <w:pPr>
      <w:spacing w:before="120"/>
    </w:pPr>
    <w:rPr>
      <w:rFonts w:ascii="Verdana" w:hAnsi="Verdana"/>
      <w:sz w:val="20"/>
      <w:szCs w:val="24"/>
      <w:lang w:eastAsia="en-AU"/>
    </w:rPr>
  </w:style>
  <w:style w:type="paragraph" w:customStyle="1" w:styleId="FigureText-BoldColour">
    <w:name w:val="Figure Text - Bold Colour"/>
    <w:basedOn w:val="TableText-BoldColour"/>
    <w:semiHidden/>
    <w:rsid w:val="00485D7B"/>
  </w:style>
  <w:style w:type="character" w:customStyle="1" w:styleId="LevelBody1-atextChar">
    <w:name w:val="Level Body 1 - (a) text Char"/>
    <w:link w:val="LevelBody1-atext"/>
    <w:semiHidden/>
    <w:locked/>
    <w:rsid w:val="00485D7B"/>
    <w:rPr>
      <w:rFonts w:ascii="Verdana" w:hAnsi="Verdana"/>
      <w:sz w:val="24"/>
      <w:lang w:val="x-none" w:eastAsia="en-US"/>
    </w:rPr>
  </w:style>
  <w:style w:type="character" w:customStyle="1" w:styleId="LevelBody2-itextChar">
    <w:name w:val="Level Body 2 - (i) text Char"/>
    <w:link w:val="LevelBody2-itext"/>
    <w:semiHidden/>
    <w:locked/>
    <w:rsid w:val="00485D7B"/>
    <w:rPr>
      <w:rFonts w:ascii="Verdana" w:hAnsi="Verdana"/>
      <w:sz w:val="24"/>
      <w:lang w:val="x-none" w:eastAsia="en-US"/>
    </w:rPr>
  </w:style>
  <w:style w:type="character" w:customStyle="1" w:styleId="LevelBody4-ItextChar">
    <w:name w:val="Level Body 4 - (I) text Char"/>
    <w:link w:val="LevelBody4-Itext"/>
    <w:semiHidden/>
    <w:locked/>
    <w:rsid w:val="00485D7B"/>
    <w:rPr>
      <w:rFonts w:ascii="Verdana" w:hAnsi="Verdana"/>
      <w:sz w:val="24"/>
      <w:lang w:val="x-none" w:eastAsia="en-US"/>
    </w:rPr>
  </w:style>
  <w:style w:type="paragraph" w:customStyle="1" w:styleId="TableText-Colour">
    <w:name w:val="Table Text - Colour"/>
    <w:basedOn w:val="Normal"/>
    <w:semiHidden/>
    <w:rsid w:val="00485D7B"/>
    <w:pPr>
      <w:spacing w:before="60" w:after="60" w:line="240" w:lineRule="auto"/>
    </w:pPr>
    <w:rPr>
      <w:rFonts w:ascii="Verdana" w:hAnsi="Verdana"/>
      <w:color w:val="52006B"/>
      <w:sz w:val="18"/>
      <w:szCs w:val="20"/>
      <w:lang w:eastAsia="en-US"/>
    </w:rPr>
  </w:style>
  <w:style w:type="paragraph" w:customStyle="1" w:styleId="FigureText-Colour">
    <w:name w:val="Figure Text - Colour"/>
    <w:basedOn w:val="TableText-Colour"/>
    <w:semiHidden/>
    <w:rsid w:val="00485D7B"/>
  </w:style>
  <w:style w:type="paragraph" w:customStyle="1" w:styleId="GuidanceText-List">
    <w:name w:val="Guidance Text - List"/>
    <w:semiHidden/>
    <w:rsid w:val="00485D7B"/>
    <w:pPr>
      <w:numPr>
        <w:numId w:val="43"/>
      </w:numPr>
      <w:spacing w:after="40"/>
    </w:pPr>
    <w:rPr>
      <w:rFonts w:ascii="Verdana" w:hAnsi="Verdana"/>
      <w:i/>
      <w:color w:val="0000FF"/>
      <w:sz w:val="24"/>
      <w:szCs w:val="24"/>
      <w:lang w:eastAsia="en-US"/>
    </w:rPr>
  </w:style>
  <w:style w:type="paragraph" w:customStyle="1" w:styleId="TableGuidanceText-List">
    <w:name w:val="Table Guidance Text - List"/>
    <w:basedOn w:val="TableText-List"/>
    <w:semiHidden/>
    <w:rsid w:val="00485D7B"/>
    <w:rPr>
      <w:i/>
      <w:color w:val="0000FF"/>
    </w:rPr>
  </w:style>
  <w:style w:type="paragraph" w:customStyle="1" w:styleId="Table-Number1">
    <w:name w:val="Table - Number1"/>
    <w:next w:val="Table-Number"/>
    <w:semiHidden/>
    <w:rsid w:val="00485D7B"/>
    <w:pPr>
      <w:tabs>
        <w:tab w:val="num" w:pos="397"/>
      </w:tabs>
      <w:spacing w:before="60" w:after="60"/>
      <w:ind w:left="397" w:hanging="283"/>
    </w:pPr>
    <w:rPr>
      <w:rFonts w:ascii="Verdana" w:hAnsi="Verdana"/>
      <w:sz w:val="18"/>
      <w:szCs w:val="18"/>
      <w:lang w:eastAsia="en-US"/>
    </w:rPr>
  </w:style>
  <w:style w:type="paragraph" w:customStyle="1" w:styleId="Room">
    <w:name w:val="Room"/>
    <w:basedOn w:val="TableText"/>
    <w:semiHidden/>
    <w:rsid w:val="00485D7B"/>
  </w:style>
  <w:style w:type="paragraph" w:customStyle="1" w:styleId="TableText-List3">
    <w:name w:val="Table Text - List 3"/>
    <w:semiHidden/>
    <w:rsid w:val="00485D7B"/>
    <w:pPr>
      <w:numPr>
        <w:numId w:val="45"/>
      </w:numPr>
      <w:spacing w:before="60" w:after="60"/>
    </w:pPr>
    <w:rPr>
      <w:rFonts w:ascii="Verdana" w:hAnsi="Verdana"/>
      <w:sz w:val="18"/>
      <w:szCs w:val="18"/>
      <w:lang w:eastAsia="en-US"/>
    </w:rPr>
  </w:style>
  <w:style w:type="paragraph" w:customStyle="1" w:styleId="BodyText-NumberedList10">
    <w:name w:val="Body Text - Numbered List (1)"/>
    <w:semiHidden/>
    <w:rsid w:val="00485D7B"/>
    <w:pPr>
      <w:numPr>
        <w:ilvl w:val="3"/>
        <w:numId w:val="46"/>
      </w:numPr>
    </w:pPr>
    <w:rPr>
      <w:rFonts w:ascii="Verdana" w:hAnsi="Verdana"/>
      <w:sz w:val="24"/>
      <w:szCs w:val="24"/>
      <w:lang w:val="en-US" w:eastAsia="en-US"/>
    </w:rPr>
  </w:style>
  <w:style w:type="paragraph" w:customStyle="1" w:styleId="Room-Minutes">
    <w:name w:val="Room-Minutes"/>
    <w:basedOn w:val="Room"/>
    <w:semiHidden/>
    <w:rsid w:val="00485D7B"/>
  </w:style>
  <w:style w:type="paragraph" w:customStyle="1" w:styleId="CommonContentBookmark">
    <w:name w:val="Common Content Bookmark"/>
    <w:semiHidden/>
    <w:rsid w:val="00485D7B"/>
    <w:pPr>
      <w:pageBreakBefore/>
    </w:pPr>
    <w:rPr>
      <w:rFonts w:ascii="Verdana" w:hAnsi="Verdana"/>
      <w:sz w:val="22"/>
      <w:szCs w:val="30"/>
    </w:rPr>
  </w:style>
  <w:style w:type="paragraph" w:customStyle="1" w:styleId="CommonContentDescription">
    <w:name w:val="Common Content Description"/>
    <w:basedOn w:val="Normal"/>
    <w:semiHidden/>
    <w:rsid w:val="00485D7B"/>
    <w:pPr>
      <w:pageBreakBefore/>
      <w:spacing w:after="0" w:line="240" w:lineRule="auto"/>
    </w:pPr>
    <w:rPr>
      <w:rFonts w:ascii="Verdana" w:hAnsi="Verdana"/>
      <w:szCs w:val="18"/>
      <w:lang w:eastAsia="en-US"/>
    </w:rPr>
  </w:style>
  <w:style w:type="paragraph" w:customStyle="1" w:styleId="CommonContentHelpText">
    <w:name w:val="Common Content Help Text"/>
    <w:basedOn w:val="Normal"/>
    <w:semiHidden/>
    <w:rsid w:val="00485D7B"/>
    <w:pPr>
      <w:spacing w:before="60" w:after="60" w:line="240" w:lineRule="auto"/>
    </w:pPr>
    <w:rPr>
      <w:rFonts w:ascii="Verdana" w:hAnsi="Verdana"/>
      <w:color w:val="0000FF"/>
      <w:szCs w:val="18"/>
      <w:lang w:eastAsia="en-US"/>
    </w:rPr>
  </w:style>
  <w:style w:type="paragraph" w:customStyle="1" w:styleId="CommonContentPageBreak">
    <w:name w:val="Common Content Page Break"/>
    <w:semiHidden/>
    <w:rsid w:val="00485D7B"/>
    <w:pPr>
      <w:pageBreakBefore/>
    </w:pPr>
    <w:rPr>
      <w:rFonts w:ascii="Verdana" w:hAnsi="Verdana"/>
      <w:b/>
      <w:sz w:val="22"/>
      <w:szCs w:val="18"/>
      <w:lang w:eastAsia="en-US"/>
    </w:rPr>
  </w:style>
  <w:style w:type="paragraph" w:customStyle="1" w:styleId="GuidanceText-List-Indent">
    <w:name w:val="Guidance Text - List - Indent"/>
    <w:basedOn w:val="BodyText-List-Indent"/>
    <w:semiHidden/>
    <w:rsid w:val="00485D7B"/>
    <w:rPr>
      <w:i/>
      <w:color w:val="0000FF"/>
    </w:rPr>
  </w:style>
  <w:style w:type="paragraph" w:customStyle="1" w:styleId="GuidanceText-Bold">
    <w:name w:val="Guidance Text - Bold"/>
    <w:basedOn w:val="BodyText-Bold"/>
    <w:semiHidden/>
    <w:rsid w:val="00485D7B"/>
    <w:rPr>
      <w:color w:val="0000FF"/>
    </w:rPr>
  </w:style>
  <w:style w:type="paragraph" w:customStyle="1" w:styleId="CommonContentHeading">
    <w:name w:val="Common Content Heading"/>
    <w:basedOn w:val="NoStyle"/>
    <w:semiHidden/>
    <w:rsid w:val="00485D7B"/>
    <w:pPr>
      <w:ind w:left="0"/>
    </w:pPr>
    <w:rPr>
      <w:b/>
      <w:sz w:val="22"/>
      <w:lang w:val="en-US"/>
    </w:rPr>
  </w:style>
  <w:style w:type="character" w:customStyle="1" w:styleId="Heading-inTOCChar">
    <w:name w:val="Heading - in TOC Char"/>
    <w:link w:val="Heading-inTOC"/>
    <w:semiHidden/>
    <w:locked/>
    <w:rsid w:val="00485D7B"/>
    <w:rPr>
      <w:rFonts w:ascii="Verdana" w:hAnsi="Verdana"/>
      <w:color w:val="52006B"/>
      <w:sz w:val="28"/>
      <w:lang w:val="x-none" w:eastAsia="en-US"/>
    </w:rPr>
  </w:style>
  <w:style w:type="character" w:customStyle="1" w:styleId="BodyText-BoldChar">
    <w:name w:val="Body Text - Bold Char"/>
    <w:link w:val="BodyText-Bold"/>
    <w:semiHidden/>
    <w:locked/>
    <w:rsid w:val="00485D7B"/>
    <w:rPr>
      <w:rFonts w:ascii="Verdana" w:hAnsi="Verdana"/>
      <w:b/>
      <w:sz w:val="24"/>
      <w:lang w:val="x-none" w:eastAsia="en-US"/>
    </w:rPr>
  </w:style>
  <w:style w:type="character" w:customStyle="1" w:styleId="TableTextChar">
    <w:name w:val="Table Text Char"/>
    <w:link w:val="TableText"/>
    <w:semiHidden/>
    <w:locked/>
    <w:rsid w:val="00485D7B"/>
    <w:rPr>
      <w:rFonts w:ascii="Verdana" w:hAnsi="Verdana"/>
      <w:sz w:val="18"/>
      <w:lang w:val="x-none" w:eastAsia="en-US"/>
    </w:rPr>
  </w:style>
  <w:style w:type="paragraph" w:customStyle="1" w:styleId="TitleLarge">
    <w:name w:val="Title Large"/>
    <w:semiHidden/>
    <w:rsid w:val="00485D7B"/>
    <w:pPr>
      <w:spacing w:before="240" w:after="480"/>
      <w:contextualSpacing/>
    </w:pPr>
    <w:rPr>
      <w:rFonts w:ascii="Times" w:hAnsi="Times"/>
      <w:color w:val="FFFFFF"/>
      <w:sz w:val="80"/>
      <w:szCs w:val="24"/>
      <w:lang w:eastAsia="en-US"/>
    </w:rPr>
  </w:style>
  <w:style w:type="character" w:customStyle="1" w:styleId="VEOHRCHeading3Char">
    <w:name w:val="VEOHRC Heading 3 Char"/>
    <w:link w:val="VEOHRCHeading3"/>
    <w:uiPriority w:val="99"/>
    <w:locked/>
    <w:rsid w:val="00485D7B"/>
    <w:rPr>
      <w:rFonts w:ascii="Arial" w:hAnsi="Arial"/>
      <w:b/>
      <w:sz w:val="26"/>
      <w:lang w:val="en-GB" w:eastAsia="x-none"/>
    </w:rPr>
  </w:style>
  <w:style w:type="character" w:customStyle="1" w:styleId="VEOHRCHeading1Char">
    <w:name w:val="VEOHRC Heading 1 Char"/>
    <w:link w:val="VEOHRCHeading1"/>
    <w:uiPriority w:val="99"/>
    <w:locked/>
    <w:rsid w:val="00485D7B"/>
    <w:rPr>
      <w:rFonts w:ascii="Arial" w:hAnsi="Arial"/>
      <w:b/>
      <w:kern w:val="32"/>
      <w:sz w:val="32"/>
      <w:lang w:val="en-GB" w:eastAsia="x-none"/>
    </w:rPr>
  </w:style>
  <w:style w:type="paragraph" w:customStyle="1" w:styleId="aVEOHRCletterlist">
    <w:name w:val="a. VEOHRC letter list"/>
    <w:basedOn w:val="VEOHRCNumberedlist"/>
    <w:autoRedefine/>
    <w:rsid w:val="00485D7B"/>
    <w:pPr>
      <w:numPr>
        <w:numId w:val="0"/>
      </w:numPr>
      <w:autoSpaceDE w:val="0"/>
      <w:autoSpaceDN w:val="0"/>
      <w:adjustRightInd w:val="0"/>
    </w:pPr>
    <w:rPr>
      <w:rFonts w:cs="Arial"/>
      <w:color w:val="000000"/>
    </w:rPr>
  </w:style>
  <w:style w:type="paragraph" w:customStyle="1" w:styleId="VEOHRCRomannumberlist">
    <w:name w:val="VEOHRC Roman number list"/>
    <w:basedOn w:val="aVEOHRCletterlist"/>
    <w:autoRedefine/>
    <w:rsid w:val="00485D7B"/>
    <w:pPr>
      <w:numPr>
        <w:ilvl w:val="1"/>
        <w:numId w:val="47"/>
      </w:numPr>
      <w:tabs>
        <w:tab w:val="num" w:pos="1440"/>
      </w:tabs>
    </w:pPr>
  </w:style>
  <w:style w:type="paragraph" w:customStyle="1" w:styleId="VEOHRCletterlist">
    <w:name w:val="VEOHRC letter list"/>
    <w:basedOn w:val="VEOHRCNumberedlist"/>
    <w:autoRedefine/>
    <w:rsid w:val="00485D7B"/>
    <w:pPr>
      <w:numPr>
        <w:ilvl w:val="1"/>
        <w:numId w:val="48"/>
      </w:numPr>
      <w:tabs>
        <w:tab w:val="num" w:pos="1440"/>
      </w:tabs>
      <w:autoSpaceDE w:val="0"/>
      <w:autoSpaceDN w:val="0"/>
      <w:adjustRightInd w:val="0"/>
    </w:pPr>
    <w:rPr>
      <w:rFonts w:cs="Arial"/>
      <w:color w:val="000000"/>
    </w:rPr>
  </w:style>
  <w:style w:type="character" w:customStyle="1" w:styleId="VEOHRCURLChar">
    <w:name w:val="VEOHRC URL Char"/>
    <w:uiPriority w:val="99"/>
    <w:rsid w:val="00485D7B"/>
    <w:rPr>
      <w:rFonts w:ascii="Arial" w:hAnsi="Arial"/>
      <w:color w:val="0000FF"/>
      <w:w w:val="100"/>
      <w:sz w:val="19"/>
      <w:lang w:val="en-AU" w:eastAsia="x-none"/>
    </w:rPr>
  </w:style>
  <w:style w:type="table" w:customStyle="1" w:styleId="GridTable4-Accent61">
    <w:name w:val="Grid Table 4 - Accent 61"/>
    <w:uiPriority w:val="49"/>
    <w:rsid w:val="00485D7B"/>
    <w:rPr>
      <w:rFonts w:ascii="Arial" w:hAnsi="Arial"/>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customStyle="1" w:styleId="GridTable5Dark-Accent31">
    <w:name w:val="Grid Table 5 Dark - Accent 31"/>
    <w:uiPriority w:val="50"/>
    <w:rsid w:val="00485D7B"/>
    <w:rPr>
      <w:rFonts w:ascii="Arial" w:hAnsi="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EDEDED"/>
    </w:tcPr>
  </w:style>
  <w:style w:type="paragraph" w:styleId="Revision">
    <w:name w:val="Revision"/>
    <w:hidden/>
    <w:uiPriority w:val="99"/>
    <w:semiHidden/>
    <w:rsid w:val="00485D7B"/>
    <w:rPr>
      <w:rFonts w:ascii="Arial" w:hAnsi="Arial"/>
      <w:sz w:val="24"/>
      <w:szCs w:val="24"/>
    </w:rPr>
  </w:style>
  <w:style w:type="paragraph" w:customStyle="1" w:styleId="Bullet1Tightlessspacing">
    <w:name w:val="Bullet 1 Tight (less spacing)"/>
    <w:basedOn w:val="Normal"/>
    <w:link w:val="Bullet1TightlessspacingChar"/>
    <w:uiPriority w:val="1"/>
    <w:qFormat/>
    <w:rsid w:val="00485D7B"/>
    <w:pPr>
      <w:numPr>
        <w:numId w:val="50"/>
      </w:numPr>
      <w:spacing w:before="60" w:after="0" w:line="264" w:lineRule="auto"/>
    </w:pPr>
    <w:rPr>
      <w:rFonts w:ascii="Franklin Gothic Book" w:hAnsi="Franklin Gothic Book"/>
    </w:rPr>
  </w:style>
  <w:style w:type="character" w:customStyle="1" w:styleId="Bullet1TightlessspacingChar">
    <w:name w:val="Bullet 1 Tight (less spacing) Char"/>
    <w:link w:val="Bullet1Tightlessspacing"/>
    <w:uiPriority w:val="1"/>
    <w:locked/>
    <w:rsid w:val="00485D7B"/>
    <w:rPr>
      <w:rFonts w:ascii="Franklin Gothic Book" w:hAnsi="Franklin Gothic Book"/>
    </w:rPr>
  </w:style>
  <w:style w:type="paragraph" w:customStyle="1" w:styleId="xl64">
    <w:name w:val="xl64"/>
    <w:basedOn w:val="Normal"/>
    <w:rsid w:val="00485D7B"/>
    <w:pPr>
      <w:pBdr>
        <w:top w:val="single" w:sz="4" w:space="0" w:color="ACB9CA"/>
        <w:left w:val="single" w:sz="4" w:space="0" w:color="ACB9CA"/>
        <w:bottom w:val="single" w:sz="4" w:space="0" w:color="ACB9CA"/>
      </w:pBdr>
      <w:shd w:val="clear" w:color="000000" w:fill="333F4F"/>
      <w:spacing w:before="100" w:beforeAutospacing="1" w:after="100" w:afterAutospacing="1" w:line="240" w:lineRule="auto"/>
    </w:pPr>
    <w:rPr>
      <w:rFonts w:ascii="Times New Roman" w:hAnsi="Times New Roman"/>
      <w:b/>
      <w:bCs/>
      <w:color w:val="FFFFFF"/>
      <w:sz w:val="24"/>
      <w:szCs w:val="24"/>
    </w:rPr>
  </w:style>
  <w:style w:type="paragraph" w:customStyle="1" w:styleId="xl65">
    <w:name w:val="xl65"/>
    <w:basedOn w:val="Normal"/>
    <w:rsid w:val="00485D7B"/>
    <w:pPr>
      <w:pBdr>
        <w:top w:val="single" w:sz="4" w:space="0" w:color="ACB9CA"/>
        <w:left w:val="single" w:sz="4" w:space="0" w:color="ACB9CA"/>
      </w:pBdr>
      <w:shd w:val="clear" w:color="000000" w:fill="BDD7EE"/>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485D7B"/>
    <w:pPr>
      <w:pBdr>
        <w:top w:val="single" w:sz="4" w:space="0" w:color="ACB9CA"/>
        <w:bottom w:val="single" w:sz="4" w:space="0" w:color="ACB9CA"/>
      </w:pBdr>
      <w:shd w:val="clear" w:color="000000" w:fill="BDD7EE"/>
      <w:spacing w:before="100" w:beforeAutospacing="1" w:after="100" w:afterAutospacing="1" w:line="240" w:lineRule="auto"/>
    </w:pPr>
    <w:rPr>
      <w:rFonts w:ascii="Times New Roman" w:hAnsi="Times New Roman"/>
      <w:sz w:val="24"/>
      <w:szCs w:val="24"/>
    </w:rPr>
  </w:style>
  <w:style w:type="paragraph" w:customStyle="1" w:styleId="xl67">
    <w:name w:val="xl67"/>
    <w:basedOn w:val="Normal"/>
    <w:rsid w:val="00485D7B"/>
    <w:pPr>
      <w:pBdr>
        <w:top w:val="single" w:sz="4" w:space="0" w:color="ACB9CA"/>
        <w:bottom w:val="single" w:sz="4" w:space="0" w:color="ACB9CA"/>
        <w:right w:val="single" w:sz="4" w:space="0" w:color="ACB9CA"/>
      </w:pBdr>
      <w:shd w:val="clear" w:color="000000" w:fill="BDD7EE"/>
      <w:spacing w:before="100" w:beforeAutospacing="1" w:after="100" w:afterAutospacing="1" w:line="240" w:lineRule="auto"/>
    </w:pPr>
    <w:rPr>
      <w:rFonts w:ascii="Times New Roman" w:hAnsi="Times New Roman"/>
      <w:sz w:val="24"/>
      <w:szCs w:val="24"/>
    </w:rPr>
  </w:style>
  <w:style w:type="paragraph" w:customStyle="1" w:styleId="xl68">
    <w:name w:val="xl68"/>
    <w:basedOn w:val="Normal"/>
    <w:rsid w:val="00485D7B"/>
    <w:pPr>
      <w:pBdr>
        <w:top w:val="single" w:sz="4" w:space="0" w:color="8497B0"/>
        <w:bottom w:val="single" w:sz="4" w:space="0" w:color="8497B0"/>
      </w:pBdr>
      <w:spacing w:before="100" w:beforeAutospacing="1" w:after="100" w:afterAutospacing="1" w:line="240" w:lineRule="auto"/>
    </w:pPr>
    <w:rPr>
      <w:rFonts w:ascii="Times New Roman" w:hAnsi="Times New Roman"/>
      <w:sz w:val="24"/>
      <w:szCs w:val="24"/>
    </w:rPr>
  </w:style>
  <w:style w:type="paragraph" w:customStyle="1" w:styleId="xl69">
    <w:name w:val="xl69"/>
    <w:basedOn w:val="Normal"/>
    <w:rsid w:val="00485D7B"/>
    <w:pPr>
      <w:pBdr>
        <w:top w:val="single" w:sz="4" w:space="0" w:color="ACB9CA"/>
        <w:bottom w:val="single" w:sz="4" w:space="0" w:color="ACB9CA"/>
      </w:pBdr>
      <w:spacing w:before="100" w:beforeAutospacing="1" w:after="100" w:afterAutospacing="1" w:line="240" w:lineRule="auto"/>
    </w:pPr>
    <w:rPr>
      <w:rFonts w:ascii="Times New Roman" w:hAnsi="Times New Roman"/>
      <w:sz w:val="24"/>
      <w:szCs w:val="24"/>
    </w:rPr>
  </w:style>
  <w:style w:type="paragraph" w:customStyle="1" w:styleId="xl70">
    <w:name w:val="xl70"/>
    <w:basedOn w:val="Normal"/>
    <w:rsid w:val="00485D7B"/>
    <w:pPr>
      <w:pBdr>
        <w:top w:val="single" w:sz="4" w:space="0" w:color="ACB9CA"/>
        <w:bottom w:val="single" w:sz="4" w:space="0" w:color="ACB9CA"/>
        <w:right w:val="single" w:sz="4" w:space="0" w:color="ACB9CA"/>
      </w:pBdr>
      <w:spacing w:before="100" w:beforeAutospacing="1" w:after="100" w:afterAutospacing="1" w:line="240" w:lineRule="auto"/>
    </w:pPr>
    <w:rPr>
      <w:rFonts w:ascii="Times New Roman" w:hAnsi="Times New Roman"/>
      <w:sz w:val="24"/>
      <w:szCs w:val="24"/>
    </w:rPr>
  </w:style>
  <w:style w:type="paragraph" w:customStyle="1" w:styleId="xl71">
    <w:name w:val="xl71"/>
    <w:basedOn w:val="Normal"/>
    <w:rsid w:val="00485D7B"/>
    <w:pPr>
      <w:pBdr>
        <w:top w:val="single" w:sz="4" w:space="0" w:color="ACB9CA"/>
        <w:left w:val="single" w:sz="4" w:space="0" w:color="ACB9CA"/>
        <w:bottom w:val="single" w:sz="4" w:space="0" w:color="ACB9CA"/>
      </w:pBdr>
      <w:spacing w:before="100" w:beforeAutospacing="1" w:after="100" w:afterAutospacing="1" w:line="240" w:lineRule="auto"/>
    </w:pPr>
    <w:rPr>
      <w:rFonts w:ascii="Times New Roman" w:hAnsi="Times New Roman"/>
      <w:sz w:val="24"/>
      <w:szCs w:val="24"/>
    </w:rPr>
  </w:style>
  <w:style w:type="paragraph" w:customStyle="1" w:styleId="xl72">
    <w:name w:val="xl72"/>
    <w:basedOn w:val="Normal"/>
    <w:rsid w:val="00485D7B"/>
    <w:pPr>
      <w:pBdr>
        <w:top w:val="single" w:sz="4" w:space="0" w:color="8497B0"/>
        <w:bottom w:val="single" w:sz="4" w:space="0" w:color="8497B0"/>
      </w:pBdr>
      <w:shd w:val="clear" w:color="000000" w:fill="333F4F"/>
      <w:spacing w:before="100" w:beforeAutospacing="1" w:after="100" w:afterAutospacing="1" w:line="240" w:lineRule="auto"/>
    </w:pPr>
    <w:rPr>
      <w:rFonts w:ascii="Times New Roman" w:hAnsi="Times New Roman"/>
      <w:b/>
      <w:bCs/>
      <w:color w:val="FFFFFF"/>
      <w:sz w:val="24"/>
      <w:szCs w:val="24"/>
    </w:rPr>
  </w:style>
  <w:style w:type="paragraph" w:customStyle="1" w:styleId="xl73">
    <w:name w:val="xl73"/>
    <w:basedOn w:val="Normal"/>
    <w:rsid w:val="00485D7B"/>
    <w:pPr>
      <w:pBdr>
        <w:top w:val="single" w:sz="4" w:space="0" w:color="ACB9CA"/>
        <w:bottom w:val="single" w:sz="4" w:space="0" w:color="8497B0"/>
      </w:pBdr>
      <w:shd w:val="clear" w:color="000000" w:fill="333F4F"/>
      <w:spacing w:before="100" w:beforeAutospacing="1" w:after="100" w:afterAutospacing="1" w:line="240" w:lineRule="auto"/>
    </w:pPr>
    <w:rPr>
      <w:rFonts w:ascii="Times New Roman" w:hAnsi="Times New Roman"/>
      <w:b/>
      <w:bCs/>
      <w:color w:val="FFFFFF"/>
      <w:sz w:val="24"/>
      <w:szCs w:val="24"/>
    </w:rPr>
  </w:style>
  <w:style w:type="paragraph" w:customStyle="1" w:styleId="xl74">
    <w:name w:val="xl74"/>
    <w:basedOn w:val="Normal"/>
    <w:rsid w:val="00485D7B"/>
    <w:pPr>
      <w:pBdr>
        <w:top w:val="single" w:sz="4" w:space="0" w:color="ACB9CA"/>
        <w:bottom w:val="single" w:sz="4" w:space="0" w:color="8497B0"/>
        <w:right w:val="single" w:sz="4" w:space="0" w:color="ACB9CA"/>
      </w:pBdr>
      <w:shd w:val="clear" w:color="000000" w:fill="333F4F"/>
      <w:spacing w:before="100" w:beforeAutospacing="1" w:after="100" w:afterAutospacing="1" w:line="240" w:lineRule="auto"/>
    </w:pPr>
    <w:rPr>
      <w:rFonts w:ascii="Times New Roman" w:hAnsi="Times New Roman"/>
      <w:b/>
      <w:bCs/>
      <w:color w:val="FFFFFF"/>
      <w:sz w:val="24"/>
      <w:szCs w:val="24"/>
    </w:rPr>
  </w:style>
  <w:style w:type="paragraph" w:customStyle="1" w:styleId="xl75">
    <w:name w:val="xl75"/>
    <w:basedOn w:val="Normal"/>
    <w:rsid w:val="00485D7B"/>
    <w:pPr>
      <w:pBdr>
        <w:top w:val="single" w:sz="4" w:space="0" w:color="ACB9CA"/>
        <w:left w:val="single" w:sz="4" w:space="0" w:color="ACB9CA"/>
        <w:bottom w:val="single" w:sz="4" w:space="0" w:color="8497B0"/>
      </w:pBdr>
      <w:shd w:val="clear" w:color="000000" w:fill="333F4F"/>
      <w:spacing w:before="100" w:beforeAutospacing="1" w:after="100" w:afterAutospacing="1" w:line="240" w:lineRule="auto"/>
    </w:pPr>
    <w:rPr>
      <w:rFonts w:ascii="Times New Roman" w:hAnsi="Times New Roman"/>
      <w:b/>
      <w:bCs/>
      <w:color w:val="FFFFFF"/>
      <w:sz w:val="24"/>
      <w:szCs w:val="24"/>
    </w:rPr>
  </w:style>
  <w:style w:type="paragraph" w:customStyle="1" w:styleId="xl76">
    <w:name w:val="xl76"/>
    <w:basedOn w:val="Normal"/>
    <w:rsid w:val="00485D7B"/>
    <w:pPr>
      <w:pBdr>
        <w:top w:val="single" w:sz="4" w:space="0" w:color="ACB9CA"/>
        <w:bottom w:val="single" w:sz="4" w:space="0" w:color="ACB9CA"/>
      </w:pBdr>
      <w:spacing w:before="100" w:beforeAutospacing="1" w:after="100" w:afterAutospacing="1" w:line="240" w:lineRule="auto"/>
      <w:jc w:val="center"/>
    </w:pPr>
    <w:rPr>
      <w:rFonts w:ascii="Times New Roman" w:hAnsi="Times New Roman"/>
      <w:sz w:val="24"/>
      <w:szCs w:val="24"/>
    </w:rPr>
  </w:style>
  <w:style w:type="paragraph" w:customStyle="1" w:styleId="xl77">
    <w:name w:val="xl77"/>
    <w:basedOn w:val="Normal"/>
    <w:rsid w:val="00485D7B"/>
    <w:pPr>
      <w:pBdr>
        <w:top w:val="single" w:sz="4" w:space="0" w:color="ACB9CA"/>
        <w:left w:val="single" w:sz="4" w:space="0" w:color="ACB9CA"/>
        <w:bottom w:val="single" w:sz="4" w:space="0" w:color="ACB9CA"/>
      </w:pBdr>
      <w:shd w:val="clear" w:color="000000" w:fill="BDD7EE"/>
      <w:spacing w:before="100" w:beforeAutospacing="1" w:after="100" w:afterAutospacing="1" w:line="240" w:lineRule="auto"/>
    </w:pPr>
    <w:rPr>
      <w:rFonts w:ascii="Times New Roman" w:hAnsi="Times New Roman"/>
      <w:sz w:val="24"/>
      <w:szCs w:val="24"/>
    </w:rPr>
  </w:style>
  <w:style w:type="paragraph" w:customStyle="1" w:styleId="xl78">
    <w:name w:val="xl78"/>
    <w:basedOn w:val="Normal"/>
    <w:rsid w:val="00485D7B"/>
    <w:pPr>
      <w:spacing w:before="100" w:beforeAutospacing="1" w:after="100" w:afterAutospacing="1" w:line="240" w:lineRule="auto"/>
    </w:pPr>
    <w:rPr>
      <w:rFonts w:ascii="Times New Roman" w:hAnsi="Times New Roman"/>
      <w:b/>
      <w:bCs/>
      <w:sz w:val="28"/>
      <w:szCs w:val="28"/>
    </w:rPr>
  </w:style>
  <w:style w:type="paragraph" w:customStyle="1" w:styleId="xl79">
    <w:name w:val="xl79"/>
    <w:basedOn w:val="Normal"/>
    <w:rsid w:val="00485D7B"/>
    <w:pPr>
      <w:pBdr>
        <w:top w:val="single" w:sz="4" w:space="0" w:color="ACB9CA"/>
        <w:bottom w:val="single" w:sz="4" w:space="0" w:color="ACB9CA"/>
      </w:pBdr>
      <w:spacing w:before="100" w:beforeAutospacing="1" w:after="100" w:afterAutospacing="1" w:line="240" w:lineRule="auto"/>
      <w:textAlignment w:val="center"/>
    </w:pPr>
    <w:rPr>
      <w:rFonts w:ascii="Times New Roman" w:hAnsi="Times New Roman"/>
      <w:sz w:val="24"/>
      <w:szCs w:val="24"/>
    </w:rPr>
  </w:style>
  <w:style w:type="paragraph" w:customStyle="1" w:styleId="xl80">
    <w:name w:val="xl80"/>
    <w:basedOn w:val="Normal"/>
    <w:rsid w:val="00485D7B"/>
    <w:pPr>
      <w:pBdr>
        <w:top w:val="single" w:sz="4" w:space="0" w:color="ACB9CA"/>
        <w:left w:val="single" w:sz="4" w:space="0" w:color="ACB9CA"/>
        <w:bottom w:val="single" w:sz="4" w:space="0" w:color="ACB9CA"/>
      </w:pBdr>
      <w:shd w:val="clear" w:color="000000" w:fill="333F4F"/>
      <w:spacing w:before="100" w:beforeAutospacing="1" w:after="100" w:afterAutospacing="1" w:line="240" w:lineRule="auto"/>
      <w:jc w:val="center"/>
    </w:pPr>
    <w:rPr>
      <w:rFonts w:ascii="Times New Roman" w:hAnsi="Times New Roman"/>
      <w:b/>
      <w:bCs/>
      <w:color w:val="FFFFFF"/>
      <w:sz w:val="24"/>
      <w:szCs w:val="24"/>
    </w:rPr>
  </w:style>
  <w:style w:type="paragraph" w:customStyle="1" w:styleId="xl81">
    <w:name w:val="xl81"/>
    <w:basedOn w:val="Normal"/>
    <w:rsid w:val="00485D7B"/>
    <w:pPr>
      <w:pBdr>
        <w:top w:val="single" w:sz="4" w:space="0" w:color="ACB9CA"/>
        <w:bottom w:val="single" w:sz="4" w:space="0" w:color="ACB9CA"/>
      </w:pBdr>
      <w:shd w:val="clear" w:color="000000" w:fill="333F4F"/>
      <w:spacing w:before="100" w:beforeAutospacing="1" w:after="100" w:afterAutospacing="1" w:line="240" w:lineRule="auto"/>
    </w:pPr>
    <w:rPr>
      <w:rFonts w:ascii="Times New Roman" w:hAnsi="Times New Roman"/>
      <w:color w:val="FFFFFF"/>
      <w:sz w:val="24"/>
      <w:szCs w:val="24"/>
    </w:rPr>
  </w:style>
  <w:style w:type="paragraph" w:customStyle="1" w:styleId="xl82">
    <w:name w:val="xl82"/>
    <w:basedOn w:val="Normal"/>
    <w:rsid w:val="00485D7B"/>
    <w:pPr>
      <w:pBdr>
        <w:top w:val="single" w:sz="4" w:space="0" w:color="ACB9CA"/>
        <w:bottom w:val="single" w:sz="4" w:space="0" w:color="ACB9CA"/>
        <w:right w:val="single" w:sz="4" w:space="0" w:color="ACB9CA"/>
      </w:pBdr>
      <w:shd w:val="clear" w:color="000000" w:fill="333F4F"/>
      <w:spacing w:before="100" w:beforeAutospacing="1" w:after="100" w:afterAutospacing="1" w:line="240" w:lineRule="auto"/>
    </w:pPr>
    <w:rPr>
      <w:rFonts w:ascii="Times New Roman" w:hAnsi="Times New Roman"/>
      <w:color w:val="FFFFFF"/>
      <w:sz w:val="24"/>
      <w:szCs w:val="24"/>
    </w:rPr>
  </w:style>
  <w:style w:type="paragraph" w:customStyle="1" w:styleId="xl83">
    <w:name w:val="xl83"/>
    <w:basedOn w:val="Normal"/>
    <w:rsid w:val="00485D7B"/>
    <w:pPr>
      <w:pBdr>
        <w:top w:val="single" w:sz="4" w:space="0" w:color="ACB9CA"/>
        <w:bottom w:val="single" w:sz="4" w:space="0" w:color="ACB9CA"/>
        <w:right w:val="single" w:sz="4" w:space="0" w:color="ACB9CA"/>
      </w:pBdr>
      <w:shd w:val="clear" w:color="000000" w:fill="333F4F"/>
      <w:spacing w:before="100" w:beforeAutospacing="1" w:after="100" w:afterAutospacing="1" w:line="240" w:lineRule="auto"/>
    </w:pPr>
    <w:rPr>
      <w:rFonts w:ascii="Times New Roman" w:hAnsi="Times New Roman"/>
      <w:color w:val="FFFFFF"/>
      <w:sz w:val="24"/>
      <w:szCs w:val="24"/>
    </w:rPr>
  </w:style>
  <w:style w:type="table" w:customStyle="1" w:styleId="TableGridLight1">
    <w:name w:val="Table Grid Light1"/>
    <w:basedOn w:val="TableNormal"/>
    <w:uiPriority w:val="40"/>
    <w:rsid w:val="00485D7B"/>
    <w:rPr>
      <w:rFonts w:ascii="Arial" w:hAnsi="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
    <w:name w:val="Grid Table 1 Light1"/>
    <w:basedOn w:val="TableNormal"/>
    <w:uiPriority w:val="46"/>
    <w:rsid w:val="00485D7B"/>
    <w:rPr>
      <w:rFonts w:ascii="Arial" w:hAnsi="Aria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GridTable41">
    <w:name w:val="Grid Table 41"/>
    <w:basedOn w:val="TableNormal"/>
    <w:uiPriority w:val="49"/>
    <w:rsid w:val="00D45122"/>
    <w:rPr>
      <w:rFonts w:ascii="Arial" w:hAnsi="Arial"/>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cPr>
      <w:shd w:val="clear" w:color="auto" w:fill="FFFFFF"/>
    </w:tc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paragraph" w:customStyle="1" w:styleId="p1">
    <w:name w:val="p1"/>
    <w:basedOn w:val="Normal"/>
    <w:rsid w:val="00485D7B"/>
    <w:pPr>
      <w:spacing w:after="86" w:line="188" w:lineRule="atLeast"/>
    </w:pPr>
    <w:rPr>
      <w:rFonts w:ascii="Arial MT Light" w:hAnsi="Arial MT Light"/>
      <w:sz w:val="14"/>
      <w:szCs w:val="14"/>
      <w:lang w:val="en-US" w:eastAsia="en-US"/>
    </w:rPr>
  </w:style>
  <w:style w:type="table" w:customStyle="1" w:styleId="GridTable21">
    <w:name w:val="Grid Table 21"/>
    <w:basedOn w:val="TableNormal"/>
    <w:uiPriority w:val="47"/>
    <w:rsid w:val="00485D7B"/>
    <w:rPr>
      <w:sz w:val="24"/>
      <w:szCs w:val="24"/>
      <w:lang w:val="en-US" w:eastAsia="en-U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rFonts w:cs="Times New Roman"/>
        <w:b/>
        <w:bCs/>
      </w:rPr>
      <w:tblPr/>
      <w:tcPr>
        <w:tcBorders>
          <w:top w:val="nil"/>
          <w:bottom w:val="single" w:sz="12" w:space="0" w:color="666666"/>
          <w:insideH w:val="nil"/>
          <w:insideV w:val="nil"/>
        </w:tcBorders>
        <w:shd w:val="clear" w:color="auto" w:fill="FFFFFF"/>
      </w:tcPr>
    </w:tblStylePr>
    <w:tblStylePr w:type="lastRow">
      <w:rPr>
        <w:rFonts w:cs="Times New Roman"/>
        <w:b/>
        <w:bCs/>
      </w:rPr>
      <w:tblPr/>
      <w:tcPr>
        <w:tcBorders>
          <w:top w:val="double" w:sz="2" w:space="0" w:color="666666"/>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character" w:styleId="Emphasis">
    <w:name w:val="Emphasis"/>
    <w:uiPriority w:val="20"/>
    <w:qFormat/>
    <w:rsid w:val="00485D7B"/>
    <w:rPr>
      <w:i/>
    </w:rPr>
  </w:style>
  <w:style w:type="character" w:customStyle="1" w:styleId="apple-converted-space">
    <w:name w:val="apple-converted-space"/>
    <w:rsid w:val="00485D7B"/>
  </w:style>
  <w:style w:type="character" w:customStyle="1" w:styleId="s1">
    <w:name w:val="s1"/>
    <w:rsid w:val="00485D7B"/>
  </w:style>
  <w:style w:type="paragraph" w:customStyle="1" w:styleId="p2">
    <w:name w:val="p2"/>
    <w:basedOn w:val="Normal"/>
    <w:rsid w:val="00485D7B"/>
    <w:pPr>
      <w:spacing w:after="128" w:line="195" w:lineRule="atLeast"/>
    </w:pPr>
    <w:rPr>
      <w:rFonts w:ascii="Roboto" w:hAnsi="Roboto"/>
      <w:sz w:val="17"/>
      <w:szCs w:val="17"/>
      <w:lang w:val="en-US" w:eastAsia="en-US"/>
    </w:rPr>
  </w:style>
  <w:style w:type="paragraph" w:customStyle="1" w:styleId="p3">
    <w:name w:val="p3"/>
    <w:basedOn w:val="Normal"/>
    <w:rsid w:val="00485D7B"/>
    <w:pPr>
      <w:spacing w:before="44" w:after="21" w:line="195" w:lineRule="atLeast"/>
      <w:ind w:left="128" w:hanging="128"/>
    </w:pPr>
    <w:rPr>
      <w:rFonts w:ascii="Roboto" w:hAnsi="Roboto"/>
      <w:sz w:val="17"/>
      <w:szCs w:val="17"/>
      <w:lang w:val="en-US" w:eastAsia="en-US"/>
    </w:rPr>
  </w:style>
  <w:style w:type="paragraph" w:customStyle="1" w:styleId="p4">
    <w:name w:val="p4"/>
    <w:basedOn w:val="Normal"/>
    <w:rsid w:val="00485D7B"/>
    <w:pPr>
      <w:spacing w:before="44" w:after="149" w:line="195" w:lineRule="atLeast"/>
      <w:ind w:left="128" w:hanging="128"/>
    </w:pPr>
    <w:rPr>
      <w:rFonts w:ascii="Roboto" w:hAnsi="Roboto"/>
      <w:sz w:val="17"/>
      <w:szCs w:val="17"/>
      <w:lang w:val="en-US" w:eastAsia="en-US"/>
    </w:rPr>
  </w:style>
  <w:style w:type="character" w:customStyle="1" w:styleId="s2">
    <w:name w:val="s2"/>
    <w:rsid w:val="00485D7B"/>
  </w:style>
  <w:style w:type="paragraph" w:customStyle="1" w:styleId="p5">
    <w:name w:val="p5"/>
    <w:basedOn w:val="Normal"/>
    <w:rsid w:val="00485D7B"/>
    <w:pPr>
      <w:spacing w:before="44" w:after="149" w:line="195" w:lineRule="atLeast"/>
      <w:ind w:left="128" w:hanging="128"/>
    </w:pPr>
    <w:rPr>
      <w:rFonts w:ascii="Roboto" w:hAnsi="Roboto"/>
      <w:sz w:val="17"/>
      <w:szCs w:val="17"/>
      <w:lang w:val="en-US" w:eastAsia="en-US"/>
    </w:rPr>
  </w:style>
  <w:style w:type="paragraph" w:customStyle="1" w:styleId="p6">
    <w:name w:val="p6"/>
    <w:basedOn w:val="Normal"/>
    <w:rsid w:val="00485D7B"/>
    <w:pPr>
      <w:spacing w:after="63" w:line="195" w:lineRule="atLeast"/>
    </w:pPr>
    <w:rPr>
      <w:rFonts w:ascii="Roboto" w:hAnsi="Roboto"/>
      <w:color w:val="B43DCC"/>
      <w:sz w:val="17"/>
      <w:szCs w:val="17"/>
      <w:lang w:val="en-US" w:eastAsia="en-US"/>
    </w:rPr>
  </w:style>
  <w:style w:type="paragraph" w:customStyle="1" w:styleId="p7">
    <w:name w:val="p7"/>
    <w:basedOn w:val="Normal"/>
    <w:rsid w:val="00485D7B"/>
    <w:pPr>
      <w:spacing w:after="128" w:line="195" w:lineRule="atLeast"/>
    </w:pPr>
    <w:rPr>
      <w:rFonts w:ascii="Roboto" w:hAnsi="Roboto"/>
      <w:color w:val="B43DCC"/>
      <w:sz w:val="17"/>
      <w:szCs w:val="17"/>
      <w:lang w:val="en-US" w:eastAsia="en-US"/>
    </w:rPr>
  </w:style>
  <w:style w:type="paragraph" w:customStyle="1" w:styleId="p8">
    <w:name w:val="p8"/>
    <w:basedOn w:val="Normal"/>
    <w:rsid w:val="00485D7B"/>
    <w:pPr>
      <w:spacing w:before="44" w:after="107" w:line="195" w:lineRule="atLeast"/>
    </w:pPr>
    <w:rPr>
      <w:rFonts w:ascii="Roboto" w:hAnsi="Roboto"/>
      <w:sz w:val="17"/>
      <w:szCs w:val="17"/>
      <w:lang w:val="en-US" w:eastAsia="en-US"/>
    </w:rPr>
  </w:style>
  <w:style w:type="character" w:customStyle="1" w:styleId="s3">
    <w:name w:val="s3"/>
    <w:rsid w:val="00485D7B"/>
    <w:rPr>
      <w:color w:val="000000"/>
    </w:rPr>
  </w:style>
  <w:style w:type="character" w:customStyle="1" w:styleId="apple-tab-span">
    <w:name w:val="apple-tab-span"/>
    <w:rsid w:val="00485D7B"/>
  </w:style>
  <w:style w:type="character" w:customStyle="1" w:styleId="Bold">
    <w:name w:val="Bold"/>
    <w:uiPriority w:val="99"/>
    <w:rsid w:val="00485D7B"/>
    <w:rPr>
      <w:rFonts w:ascii="ArialMT-Medium" w:hAnsi="ArialMT-Medium"/>
    </w:rPr>
  </w:style>
  <w:style w:type="character" w:customStyle="1" w:styleId="VEOHRCItalics">
    <w:name w:val="VEOHRC Italics"/>
    <w:uiPriority w:val="99"/>
    <w:rsid w:val="00485D7B"/>
    <w:rPr>
      <w:i/>
    </w:rPr>
  </w:style>
  <w:style w:type="paragraph" w:customStyle="1" w:styleId="Bodytext12pt">
    <w:name w:val="Body text 12pt"/>
    <w:basedOn w:val="Normal"/>
    <w:qFormat/>
    <w:rsid w:val="00485D7B"/>
    <w:pPr>
      <w:spacing w:after="240" w:line="360" w:lineRule="auto"/>
    </w:pPr>
    <w:rPr>
      <w:rFonts w:ascii="Arial" w:hAnsi="Arial" w:cs="Arial"/>
      <w:sz w:val="24"/>
      <w:szCs w:val="24"/>
    </w:rPr>
  </w:style>
  <w:style w:type="paragraph" w:customStyle="1" w:styleId="msonormal0">
    <w:name w:val="msonormal"/>
    <w:basedOn w:val="Normal"/>
    <w:rsid w:val="00485D7B"/>
    <w:pPr>
      <w:spacing w:before="100" w:beforeAutospacing="1" w:after="100" w:afterAutospacing="1" w:line="240" w:lineRule="auto"/>
    </w:pPr>
    <w:rPr>
      <w:rFonts w:ascii="Times New Roman" w:hAnsi="Times New Roman"/>
      <w:sz w:val="24"/>
      <w:szCs w:val="24"/>
    </w:rPr>
  </w:style>
  <w:style w:type="character" w:customStyle="1" w:styleId="A51">
    <w:name w:val="A5_1"/>
    <w:uiPriority w:val="99"/>
    <w:rsid w:val="00FB080C"/>
    <w:rPr>
      <w:color w:val="211D1E"/>
      <w:sz w:val="21"/>
    </w:rPr>
  </w:style>
  <w:style w:type="character" w:customStyle="1" w:styleId="A61">
    <w:name w:val="A6_1"/>
    <w:uiPriority w:val="99"/>
    <w:rsid w:val="00FB080C"/>
    <w:rPr>
      <w:rFonts w:ascii="Graphik Medium" w:hAnsi="Graphik Medium"/>
      <w:color w:val="211D1E"/>
      <w:sz w:val="21"/>
      <w:u w:val="single"/>
    </w:rPr>
  </w:style>
  <w:style w:type="numbering" w:styleId="ArticleSection">
    <w:name w:val="Outline List 3"/>
    <w:basedOn w:val="NoList"/>
    <w:uiPriority w:val="99"/>
    <w:semiHidden/>
    <w:unhideWhenUsed/>
    <w:pPr>
      <w:numPr>
        <w:numId w:val="24"/>
      </w:numPr>
    </w:pPr>
  </w:style>
  <w:style w:type="numbering" w:customStyle="1" w:styleId="AppendixHeadingmaster">
    <w:name w:val="Appendix Heading (master)"/>
    <w:pPr>
      <w:numPr>
        <w:numId w:val="1"/>
      </w:numPr>
    </w:pPr>
  </w:style>
  <w:style w:type="numbering" w:styleId="1ai">
    <w:name w:val="Outline List 1"/>
    <w:basedOn w:val="NoList"/>
    <w:uiPriority w:val="99"/>
    <w:semiHidden/>
    <w:unhideWhenUsed/>
    <w:pPr>
      <w:numPr>
        <w:numId w:val="23"/>
      </w:numPr>
    </w:pPr>
  </w:style>
  <w:style w:type="numbering" w:customStyle="1" w:styleId="Headingsmaster">
    <w:name w:val="Headings (master)"/>
    <w:pPr>
      <w:numPr>
        <w:numId w:val="3"/>
      </w:numPr>
    </w:pPr>
  </w:style>
  <w:style w:type="numbering" w:customStyle="1" w:styleId="TableListNumbermaster">
    <w:name w:val="Table List Number (master)"/>
    <w:pPr>
      <w:numPr>
        <w:numId w:val="7"/>
      </w:numPr>
    </w:pPr>
  </w:style>
  <w:style w:type="numbering" w:customStyle="1" w:styleId="ListLegalmaster">
    <w:name w:val="List Legal (master)"/>
    <w:pPr>
      <w:numPr>
        <w:numId w:val="14"/>
      </w:numPr>
    </w:pPr>
  </w:style>
  <w:style w:type="numbering" w:customStyle="1" w:styleId="ListNumbermaster">
    <w:name w:val="List Number (master)"/>
    <w:pPr>
      <w:numPr>
        <w:numId w:val="5"/>
      </w:numPr>
    </w:pPr>
  </w:style>
  <w:style w:type="numbering" w:customStyle="1" w:styleId="Headings">
    <w:name w:val="Headings"/>
    <w:pPr>
      <w:numPr>
        <w:numId w:val="49"/>
      </w:numPr>
    </w:pPr>
  </w:style>
  <w:style w:type="numbering" w:customStyle="1" w:styleId="ListAlphanumericmaster">
    <w:name w:val="List Alphanumeric (master)"/>
    <w:pPr>
      <w:numPr>
        <w:numId w:val="13"/>
      </w:numPr>
    </w:pPr>
  </w:style>
  <w:style w:type="numbering" w:customStyle="1" w:styleId="TableListBulletmaster">
    <w:name w:val="Table List Bullet (master)"/>
    <w:pPr>
      <w:numPr>
        <w:numId w:val="6"/>
      </w:numPr>
    </w:pPr>
  </w:style>
  <w:style w:type="numbering" w:customStyle="1" w:styleId="ListBulletmaster">
    <w:name w:val="List Bullet (master)"/>
    <w:pPr>
      <w:numPr>
        <w:numId w:val="4"/>
      </w:numPr>
    </w:pPr>
  </w:style>
  <w:style w:type="numbering" w:customStyle="1" w:styleId="RecommendationListmaster">
    <w:name w:val="Recommendation List (master)"/>
    <w:pPr>
      <w:numPr>
        <w:numId w:val="16"/>
      </w:numPr>
    </w:pPr>
  </w:style>
  <w:style w:type="numbering" w:styleId="111111">
    <w:name w:val="Outline List 2"/>
    <w:basedOn w:val="NoList"/>
    <w:uiPriority w:val="99"/>
    <w:semiHidden/>
    <w:unhideWhenUsed/>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ommunications@veohrc.vic.gov.au" TargetMode="Externa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nquiries@veohrc.vic.gov.au" TargetMode="External"/><Relationship Id="rId7" Type="http://schemas.openxmlformats.org/officeDocument/2006/relationships/footer" Target="footer1.xml"/><Relationship Id="rId12" Type="http://schemas.openxmlformats.org/officeDocument/2006/relationships/hyperlink" Target="file:///\\vmware-host\Shared%20Folders\Projects%20(Clients)\VEOHRC\1338.%20MS%20Word%20Report%20Template\Modified%20Documents\humanrightscommission.vic.gov.au"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quiries@veohrc.vic.gov.au" TargetMode="External"/><Relationship Id="rId24" Type="http://schemas.openxmlformats.org/officeDocument/2006/relationships/hyperlink" Target="http://www.facebook.com/VEOHRC" TargetMode="Externa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www.twitter.com/VEOHRC" TargetMode="Externa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2.jpeg"/><Relationship Id="rId22" Type="http://schemas.openxmlformats.org/officeDocument/2006/relationships/hyperlink" Target="file:///\\vmware-host\Shared%20Folders\Projects%20(Clients)\VEOHRC\1338.%20MS%20Word%20Report%20Template\Modified%20Documents\humanrightscommission.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63</Pages>
  <Words>19659</Words>
  <Characters>112058</Characters>
  <Application>Microsoft Office Word</Application>
  <DocSecurity>0</DocSecurity>
  <Lines>933</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OBrien (DJCS)</dc:creator>
  <cp:keywords/>
  <dc:description/>
  <cp:lastModifiedBy>Milly C Bartlett (DJCS)</cp:lastModifiedBy>
  <cp:revision>2</cp:revision>
  <dcterms:created xsi:type="dcterms:W3CDTF">2019-10-16T04:49:00Z</dcterms:created>
  <dcterms:modified xsi:type="dcterms:W3CDTF">2019-10-16T04:49:00Z</dcterms:modified>
</cp:coreProperties>
</file>