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83AEC35" w14:textId="77E1AC65" w:rsidR="009076EA" w:rsidRDefault="00E07145" w:rsidP="000A6954">
      <w:pPr>
        <w:pStyle w:val="Title"/>
        <w:keepNext/>
      </w:pPr>
      <w:bookmarkStart w:id="0" w:name="_GoBack"/>
      <w:bookmarkEnd w:id="0"/>
      <w:r>
        <w:rPr>
          <w:rStyle w:val="TitleChar"/>
        </w:rPr>
        <w:t xml:space="preserve">Submission to the </w:t>
      </w:r>
      <w:r w:rsidR="0031073D">
        <w:rPr>
          <w:rStyle w:val="TitleChar"/>
        </w:rPr>
        <w:t xml:space="preserve">      </w:t>
      </w:r>
      <w:r w:rsidR="00BE709A">
        <w:rPr>
          <w:rStyle w:val="TitleChar"/>
        </w:rPr>
        <w:t>I</w:t>
      </w:r>
      <w:r w:rsidR="00F65FB2" w:rsidRPr="00F65FB2">
        <w:rPr>
          <w:noProof/>
        </w:rPr>
        <w:drawing>
          <wp:anchor distT="0" distB="0" distL="114300" distR="114300" simplePos="0" relativeHeight="251658240" behindDoc="0" locked="0" layoutInCell="1" allowOverlap="1" wp14:anchorId="0FF73AC3" wp14:editId="1A95FB65">
            <wp:simplePos x="0" y="0"/>
            <wp:positionH relativeFrom="column">
              <wp:posOffset>-20380</wp:posOffset>
            </wp:positionH>
            <wp:positionV relativeFrom="paragraph">
              <wp:posOffset>-565361</wp:posOffset>
            </wp:positionV>
            <wp:extent cx="3178175" cy="896620"/>
            <wp:effectExtent l="0" t="0" r="3175" b="0"/>
            <wp:wrapNone/>
            <wp:docPr id="3" name="Picture 3" descr="transparen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descr="transparent 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178175" cy="896620"/>
                    </a:xfrm>
                    <a:prstGeom prst="rect">
                      <a:avLst/>
                    </a:prstGeom>
                    <a:noFill/>
                    <a:ln>
                      <a:noFill/>
                    </a:ln>
                  </pic:spPr>
                </pic:pic>
              </a:graphicData>
            </a:graphic>
            <wp14:sizeRelH relativeFrom="page">
              <wp14:pctWidth>0</wp14:pctWidth>
            </wp14:sizeRelH>
            <wp14:sizeRelV relativeFrom="page">
              <wp14:pctHeight>0</wp14:pctHeight>
            </wp14:sizeRelV>
          </wp:anchor>
        </w:drawing>
      </w:r>
      <w:r w:rsidR="00BE709A">
        <w:rPr>
          <w:rStyle w:val="TitleChar"/>
        </w:rPr>
        <w:t xml:space="preserve">nquiry into a </w:t>
      </w:r>
      <w:r w:rsidR="00195D90">
        <w:rPr>
          <w:rStyle w:val="TitleChar"/>
        </w:rPr>
        <w:t>L</w:t>
      </w:r>
      <w:r w:rsidR="00BE709A">
        <w:rPr>
          <w:rStyle w:val="TitleChar"/>
        </w:rPr>
        <w:t>egislated Spent Convictions Scheme</w:t>
      </w:r>
    </w:p>
    <w:p w14:paraId="1B4F0551" w14:textId="4C853F2C" w:rsidR="00FC4611" w:rsidRPr="00BC1B34" w:rsidRDefault="00E07145" w:rsidP="000A6954">
      <w:pPr>
        <w:pStyle w:val="Subtitle"/>
        <w:keepNext/>
        <w:sectPr w:rsidR="00FC4611" w:rsidRPr="00BC1B34" w:rsidSect="00F65FB2">
          <w:footerReference w:type="default" r:id="rId9"/>
          <w:headerReference w:type="first" r:id="rId10"/>
          <w:footerReference w:type="first" r:id="rId11"/>
          <w:endnotePr>
            <w:numFmt w:val="decimal"/>
          </w:endnotePr>
          <w:pgSz w:w="11907" w:h="16839" w:code="9"/>
          <w:pgMar w:top="1440" w:right="873" w:bottom="1440" w:left="873" w:header="720" w:footer="720" w:gutter="0"/>
          <w:pgNumType w:start="0"/>
          <w:cols w:space="720"/>
          <w:titlePg/>
          <w:docGrid w:linePitch="360"/>
        </w:sectPr>
      </w:pPr>
      <w:r>
        <w:rPr>
          <w:rStyle w:val="SubtitleChar"/>
        </w:rPr>
        <w:t>July 2019</w:t>
      </w:r>
    </w:p>
    <w:p w14:paraId="0A6CC9A8" w14:textId="77777777" w:rsidR="00452A9D" w:rsidRDefault="00452A9D" w:rsidP="000A6954">
      <w:pPr>
        <w:pStyle w:val="TOCHeading"/>
      </w:pPr>
      <w:r>
        <w:lastRenderedPageBreak/>
        <w:t>Contents</w:t>
      </w:r>
    </w:p>
    <w:p w14:paraId="58B2C1BA" w14:textId="36ED44E3" w:rsidR="00753137" w:rsidRDefault="002F6C8C">
      <w:pPr>
        <w:pStyle w:val="TOC1"/>
        <w:rPr>
          <w:rFonts w:asciiTheme="minorHAnsi" w:eastAsiaTheme="minorEastAsia" w:hAnsiTheme="minorHAnsi"/>
          <w:b w:val="0"/>
          <w:noProof/>
          <w:sz w:val="22"/>
          <w:szCs w:val="22"/>
          <w:lang w:eastAsia="en-AU"/>
        </w:rPr>
      </w:pPr>
      <w:r>
        <w:fldChar w:fldCharType="begin"/>
      </w:r>
      <w:r>
        <w:instrText xml:space="preserve"> TOC \o "2-2" \h \z \t "Heading 1,1,Appendix Heading 1,4" </w:instrText>
      </w:r>
      <w:r>
        <w:fldChar w:fldCharType="separate"/>
      </w:r>
      <w:hyperlink w:anchor="_Toc14181856" w:history="1">
        <w:r w:rsidR="00753137" w:rsidRPr="00694770">
          <w:rPr>
            <w:rStyle w:val="Hyperlink"/>
            <w:noProof/>
          </w:rPr>
          <w:t>1.</w:t>
        </w:r>
        <w:r w:rsidR="00753137">
          <w:rPr>
            <w:rFonts w:asciiTheme="minorHAnsi" w:eastAsiaTheme="minorEastAsia" w:hAnsiTheme="minorHAnsi"/>
            <w:b w:val="0"/>
            <w:noProof/>
            <w:sz w:val="22"/>
            <w:szCs w:val="22"/>
            <w:lang w:eastAsia="en-AU"/>
          </w:rPr>
          <w:tab/>
        </w:r>
        <w:r w:rsidR="00753137" w:rsidRPr="00694770">
          <w:rPr>
            <w:rStyle w:val="Hyperlink"/>
            <w:noProof/>
          </w:rPr>
          <w:t>Executive Summary</w:t>
        </w:r>
        <w:r w:rsidR="00753137">
          <w:rPr>
            <w:noProof/>
            <w:webHidden/>
          </w:rPr>
          <w:tab/>
        </w:r>
        <w:r w:rsidR="00753137">
          <w:rPr>
            <w:noProof/>
            <w:webHidden/>
          </w:rPr>
          <w:fldChar w:fldCharType="begin"/>
        </w:r>
        <w:r w:rsidR="00753137">
          <w:rPr>
            <w:noProof/>
            <w:webHidden/>
          </w:rPr>
          <w:instrText xml:space="preserve"> PAGEREF _Toc14181856 \h </w:instrText>
        </w:r>
        <w:r w:rsidR="00753137">
          <w:rPr>
            <w:noProof/>
            <w:webHidden/>
          </w:rPr>
        </w:r>
        <w:r w:rsidR="00753137">
          <w:rPr>
            <w:noProof/>
            <w:webHidden/>
          </w:rPr>
          <w:fldChar w:fldCharType="separate"/>
        </w:r>
        <w:r w:rsidR="00C53002">
          <w:rPr>
            <w:noProof/>
            <w:webHidden/>
          </w:rPr>
          <w:t>3</w:t>
        </w:r>
        <w:r w:rsidR="00753137">
          <w:rPr>
            <w:noProof/>
            <w:webHidden/>
          </w:rPr>
          <w:fldChar w:fldCharType="end"/>
        </w:r>
      </w:hyperlink>
    </w:p>
    <w:p w14:paraId="5CBED150" w14:textId="4B986073" w:rsidR="00753137" w:rsidRDefault="005C5108">
      <w:pPr>
        <w:pStyle w:val="TOC1"/>
        <w:rPr>
          <w:rFonts w:asciiTheme="minorHAnsi" w:eastAsiaTheme="minorEastAsia" w:hAnsiTheme="minorHAnsi"/>
          <w:b w:val="0"/>
          <w:noProof/>
          <w:sz w:val="22"/>
          <w:szCs w:val="22"/>
          <w:lang w:eastAsia="en-AU"/>
        </w:rPr>
      </w:pPr>
      <w:hyperlink w:anchor="_Toc14181857" w:history="1">
        <w:r w:rsidR="00753137" w:rsidRPr="00694770">
          <w:rPr>
            <w:rStyle w:val="Hyperlink"/>
            <w:noProof/>
          </w:rPr>
          <w:t>2.</w:t>
        </w:r>
        <w:r w:rsidR="00753137">
          <w:rPr>
            <w:rFonts w:asciiTheme="minorHAnsi" w:eastAsiaTheme="minorEastAsia" w:hAnsiTheme="minorHAnsi"/>
            <w:b w:val="0"/>
            <w:noProof/>
            <w:sz w:val="22"/>
            <w:szCs w:val="22"/>
            <w:lang w:eastAsia="en-AU"/>
          </w:rPr>
          <w:tab/>
        </w:r>
        <w:r w:rsidR="00753137" w:rsidRPr="00694770">
          <w:rPr>
            <w:rStyle w:val="Hyperlink"/>
            <w:noProof/>
          </w:rPr>
          <w:t>About the Commission</w:t>
        </w:r>
        <w:r w:rsidR="00753137">
          <w:rPr>
            <w:noProof/>
            <w:webHidden/>
          </w:rPr>
          <w:tab/>
        </w:r>
        <w:r w:rsidR="00753137">
          <w:rPr>
            <w:noProof/>
            <w:webHidden/>
          </w:rPr>
          <w:fldChar w:fldCharType="begin"/>
        </w:r>
        <w:r w:rsidR="00753137">
          <w:rPr>
            <w:noProof/>
            <w:webHidden/>
          </w:rPr>
          <w:instrText xml:space="preserve"> PAGEREF _Toc14181857 \h </w:instrText>
        </w:r>
        <w:r w:rsidR="00753137">
          <w:rPr>
            <w:noProof/>
            <w:webHidden/>
          </w:rPr>
        </w:r>
        <w:r w:rsidR="00753137">
          <w:rPr>
            <w:noProof/>
            <w:webHidden/>
          </w:rPr>
          <w:fldChar w:fldCharType="separate"/>
        </w:r>
        <w:r w:rsidR="00C53002">
          <w:rPr>
            <w:noProof/>
            <w:webHidden/>
          </w:rPr>
          <w:t>4</w:t>
        </w:r>
        <w:r w:rsidR="00753137">
          <w:rPr>
            <w:noProof/>
            <w:webHidden/>
          </w:rPr>
          <w:fldChar w:fldCharType="end"/>
        </w:r>
      </w:hyperlink>
    </w:p>
    <w:p w14:paraId="1F70D49D" w14:textId="670F506B" w:rsidR="00753137" w:rsidRDefault="005C5108">
      <w:pPr>
        <w:pStyle w:val="TOC2"/>
        <w:rPr>
          <w:rFonts w:asciiTheme="minorHAnsi" w:eastAsiaTheme="minorEastAsia" w:hAnsiTheme="minorHAnsi"/>
          <w:noProof/>
          <w:sz w:val="22"/>
          <w:szCs w:val="22"/>
          <w:lang w:eastAsia="en-AU"/>
        </w:rPr>
      </w:pPr>
      <w:hyperlink w:anchor="_Toc14181858" w:history="1">
        <w:r w:rsidR="00753137" w:rsidRPr="00694770">
          <w:rPr>
            <w:rStyle w:val="Hyperlink"/>
            <w:noProof/>
          </w:rPr>
          <w:t xml:space="preserve">2.1 </w:t>
        </w:r>
        <w:r w:rsidR="00753137">
          <w:rPr>
            <w:rFonts w:asciiTheme="minorHAnsi" w:eastAsiaTheme="minorEastAsia" w:hAnsiTheme="minorHAnsi"/>
            <w:noProof/>
            <w:sz w:val="22"/>
            <w:szCs w:val="22"/>
            <w:lang w:eastAsia="en-AU"/>
          </w:rPr>
          <w:tab/>
        </w:r>
        <w:r w:rsidR="00753137" w:rsidRPr="00694770">
          <w:rPr>
            <w:rStyle w:val="Hyperlink"/>
            <w:noProof/>
          </w:rPr>
          <w:t>Our role and functions</w:t>
        </w:r>
        <w:r w:rsidR="00753137">
          <w:rPr>
            <w:noProof/>
            <w:webHidden/>
          </w:rPr>
          <w:tab/>
        </w:r>
        <w:r w:rsidR="00753137">
          <w:rPr>
            <w:noProof/>
            <w:webHidden/>
          </w:rPr>
          <w:fldChar w:fldCharType="begin"/>
        </w:r>
        <w:r w:rsidR="00753137">
          <w:rPr>
            <w:noProof/>
            <w:webHidden/>
          </w:rPr>
          <w:instrText xml:space="preserve"> PAGEREF _Toc14181858 \h </w:instrText>
        </w:r>
        <w:r w:rsidR="00753137">
          <w:rPr>
            <w:noProof/>
            <w:webHidden/>
          </w:rPr>
        </w:r>
        <w:r w:rsidR="00753137">
          <w:rPr>
            <w:noProof/>
            <w:webHidden/>
          </w:rPr>
          <w:fldChar w:fldCharType="separate"/>
        </w:r>
        <w:r w:rsidR="00C53002">
          <w:rPr>
            <w:noProof/>
            <w:webHidden/>
          </w:rPr>
          <w:t>4</w:t>
        </w:r>
        <w:r w:rsidR="00753137">
          <w:rPr>
            <w:noProof/>
            <w:webHidden/>
          </w:rPr>
          <w:fldChar w:fldCharType="end"/>
        </w:r>
      </w:hyperlink>
    </w:p>
    <w:p w14:paraId="469949C0" w14:textId="2CF96039" w:rsidR="00753137" w:rsidRDefault="005C5108">
      <w:pPr>
        <w:pStyle w:val="TOC2"/>
        <w:rPr>
          <w:rFonts w:asciiTheme="minorHAnsi" w:eastAsiaTheme="minorEastAsia" w:hAnsiTheme="minorHAnsi"/>
          <w:noProof/>
          <w:sz w:val="22"/>
          <w:szCs w:val="22"/>
          <w:lang w:eastAsia="en-AU"/>
        </w:rPr>
      </w:pPr>
      <w:hyperlink w:anchor="_Toc14181859" w:history="1">
        <w:r w:rsidR="00753137" w:rsidRPr="00694770">
          <w:rPr>
            <w:rStyle w:val="Hyperlink"/>
            <w:noProof/>
          </w:rPr>
          <w:t>2.2</w:t>
        </w:r>
        <w:r w:rsidR="00753137">
          <w:rPr>
            <w:rFonts w:asciiTheme="minorHAnsi" w:eastAsiaTheme="minorEastAsia" w:hAnsiTheme="minorHAnsi"/>
            <w:noProof/>
            <w:sz w:val="22"/>
            <w:szCs w:val="22"/>
            <w:lang w:eastAsia="en-AU"/>
          </w:rPr>
          <w:tab/>
        </w:r>
        <w:r w:rsidR="00753137" w:rsidRPr="00694770">
          <w:rPr>
            <w:rStyle w:val="Hyperlink"/>
            <w:noProof/>
          </w:rPr>
          <w:t>Contribution to this Inquiry</w:t>
        </w:r>
        <w:r w:rsidR="00753137">
          <w:rPr>
            <w:noProof/>
            <w:webHidden/>
          </w:rPr>
          <w:tab/>
        </w:r>
        <w:r w:rsidR="00753137">
          <w:rPr>
            <w:noProof/>
            <w:webHidden/>
          </w:rPr>
          <w:fldChar w:fldCharType="begin"/>
        </w:r>
        <w:r w:rsidR="00753137">
          <w:rPr>
            <w:noProof/>
            <w:webHidden/>
          </w:rPr>
          <w:instrText xml:space="preserve"> PAGEREF _Toc14181859 \h </w:instrText>
        </w:r>
        <w:r w:rsidR="00753137">
          <w:rPr>
            <w:noProof/>
            <w:webHidden/>
          </w:rPr>
        </w:r>
        <w:r w:rsidR="00753137">
          <w:rPr>
            <w:noProof/>
            <w:webHidden/>
          </w:rPr>
          <w:fldChar w:fldCharType="separate"/>
        </w:r>
        <w:r w:rsidR="00C53002">
          <w:rPr>
            <w:noProof/>
            <w:webHidden/>
          </w:rPr>
          <w:t>5</w:t>
        </w:r>
        <w:r w:rsidR="00753137">
          <w:rPr>
            <w:noProof/>
            <w:webHidden/>
          </w:rPr>
          <w:fldChar w:fldCharType="end"/>
        </w:r>
      </w:hyperlink>
    </w:p>
    <w:p w14:paraId="01AF25DE" w14:textId="27B0FFF6" w:rsidR="00753137" w:rsidRDefault="005C5108">
      <w:pPr>
        <w:pStyle w:val="TOC1"/>
        <w:rPr>
          <w:rFonts w:asciiTheme="minorHAnsi" w:eastAsiaTheme="minorEastAsia" w:hAnsiTheme="minorHAnsi"/>
          <w:b w:val="0"/>
          <w:noProof/>
          <w:sz w:val="22"/>
          <w:szCs w:val="22"/>
          <w:lang w:eastAsia="en-AU"/>
        </w:rPr>
      </w:pPr>
      <w:hyperlink w:anchor="_Toc14181860" w:history="1">
        <w:r w:rsidR="00753137" w:rsidRPr="00694770">
          <w:rPr>
            <w:rStyle w:val="Hyperlink"/>
            <w:noProof/>
          </w:rPr>
          <w:t>3.</w:t>
        </w:r>
        <w:r w:rsidR="00753137">
          <w:rPr>
            <w:rFonts w:asciiTheme="minorHAnsi" w:eastAsiaTheme="minorEastAsia" w:hAnsiTheme="minorHAnsi"/>
            <w:b w:val="0"/>
            <w:noProof/>
            <w:sz w:val="22"/>
            <w:szCs w:val="22"/>
            <w:lang w:eastAsia="en-AU"/>
          </w:rPr>
          <w:tab/>
        </w:r>
        <w:r w:rsidR="00753137" w:rsidRPr="00694770">
          <w:rPr>
            <w:rStyle w:val="Hyperlink"/>
            <w:noProof/>
          </w:rPr>
          <w:t>Criminal records discrimination</w:t>
        </w:r>
        <w:r w:rsidR="00753137">
          <w:rPr>
            <w:noProof/>
            <w:webHidden/>
          </w:rPr>
          <w:tab/>
        </w:r>
        <w:r w:rsidR="00753137">
          <w:rPr>
            <w:noProof/>
            <w:webHidden/>
          </w:rPr>
          <w:fldChar w:fldCharType="begin"/>
        </w:r>
        <w:r w:rsidR="00753137">
          <w:rPr>
            <w:noProof/>
            <w:webHidden/>
          </w:rPr>
          <w:instrText xml:space="preserve"> PAGEREF _Toc14181860 \h </w:instrText>
        </w:r>
        <w:r w:rsidR="00753137">
          <w:rPr>
            <w:noProof/>
            <w:webHidden/>
          </w:rPr>
        </w:r>
        <w:r w:rsidR="00753137">
          <w:rPr>
            <w:noProof/>
            <w:webHidden/>
          </w:rPr>
          <w:fldChar w:fldCharType="separate"/>
        </w:r>
        <w:r w:rsidR="00C53002">
          <w:rPr>
            <w:noProof/>
            <w:webHidden/>
          </w:rPr>
          <w:t>6</w:t>
        </w:r>
        <w:r w:rsidR="00753137">
          <w:rPr>
            <w:noProof/>
            <w:webHidden/>
          </w:rPr>
          <w:fldChar w:fldCharType="end"/>
        </w:r>
      </w:hyperlink>
    </w:p>
    <w:p w14:paraId="374C6454" w14:textId="6F53B0EE" w:rsidR="00753137" w:rsidRDefault="005C5108">
      <w:pPr>
        <w:pStyle w:val="TOC2"/>
        <w:rPr>
          <w:rFonts w:asciiTheme="minorHAnsi" w:eastAsiaTheme="minorEastAsia" w:hAnsiTheme="minorHAnsi"/>
          <w:noProof/>
          <w:sz w:val="22"/>
          <w:szCs w:val="22"/>
          <w:lang w:eastAsia="en-AU"/>
        </w:rPr>
      </w:pPr>
      <w:hyperlink w:anchor="_Toc14181861" w:history="1">
        <w:r w:rsidR="00753137" w:rsidRPr="00694770">
          <w:rPr>
            <w:rStyle w:val="Hyperlink"/>
            <w:noProof/>
          </w:rPr>
          <w:t>3.1</w:t>
        </w:r>
        <w:r w:rsidR="00753137">
          <w:rPr>
            <w:rFonts w:asciiTheme="minorHAnsi" w:eastAsiaTheme="minorEastAsia" w:hAnsiTheme="minorHAnsi"/>
            <w:noProof/>
            <w:sz w:val="22"/>
            <w:szCs w:val="22"/>
            <w:lang w:eastAsia="en-AU"/>
          </w:rPr>
          <w:tab/>
        </w:r>
        <w:r w:rsidR="00753137" w:rsidRPr="00694770">
          <w:rPr>
            <w:rStyle w:val="Hyperlink"/>
            <w:noProof/>
          </w:rPr>
          <w:t>The legal framework</w:t>
        </w:r>
        <w:r w:rsidR="00753137">
          <w:rPr>
            <w:noProof/>
            <w:webHidden/>
          </w:rPr>
          <w:tab/>
        </w:r>
        <w:r w:rsidR="00753137">
          <w:rPr>
            <w:noProof/>
            <w:webHidden/>
          </w:rPr>
          <w:fldChar w:fldCharType="begin"/>
        </w:r>
        <w:r w:rsidR="00753137">
          <w:rPr>
            <w:noProof/>
            <w:webHidden/>
          </w:rPr>
          <w:instrText xml:space="preserve"> PAGEREF _Toc14181861 \h </w:instrText>
        </w:r>
        <w:r w:rsidR="00753137">
          <w:rPr>
            <w:noProof/>
            <w:webHidden/>
          </w:rPr>
        </w:r>
        <w:r w:rsidR="00753137">
          <w:rPr>
            <w:noProof/>
            <w:webHidden/>
          </w:rPr>
          <w:fldChar w:fldCharType="separate"/>
        </w:r>
        <w:r w:rsidR="00C53002">
          <w:rPr>
            <w:noProof/>
            <w:webHidden/>
          </w:rPr>
          <w:t>6</w:t>
        </w:r>
        <w:r w:rsidR="00753137">
          <w:rPr>
            <w:noProof/>
            <w:webHidden/>
          </w:rPr>
          <w:fldChar w:fldCharType="end"/>
        </w:r>
      </w:hyperlink>
    </w:p>
    <w:p w14:paraId="08B1CA94" w14:textId="35BE08A1" w:rsidR="00753137" w:rsidRDefault="005C5108">
      <w:pPr>
        <w:pStyle w:val="TOC2"/>
        <w:rPr>
          <w:rFonts w:asciiTheme="minorHAnsi" w:eastAsiaTheme="minorEastAsia" w:hAnsiTheme="minorHAnsi"/>
          <w:noProof/>
          <w:sz w:val="22"/>
          <w:szCs w:val="22"/>
          <w:lang w:eastAsia="en-AU"/>
        </w:rPr>
      </w:pPr>
      <w:hyperlink w:anchor="_Toc14181862" w:history="1">
        <w:r w:rsidR="00753137" w:rsidRPr="00694770">
          <w:rPr>
            <w:rStyle w:val="Hyperlink"/>
            <w:noProof/>
          </w:rPr>
          <w:t>3.2</w:t>
        </w:r>
        <w:r w:rsidR="00753137">
          <w:rPr>
            <w:rFonts w:asciiTheme="minorHAnsi" w:eastAsiaTheme="minorEastAsia" w:hAnsiTheme="minorHAnsi"/>
            <w:noProof/>
            <w:sz w:val="22"/>
            <w:szCs w:val="22"/>
            <w:lang w:eastAsia="en-AU"/>
          </w:rPr>
          <w:tab/>
        </w:r>
        <w:r w:rsidR="00753137" w:rsidRPr="00694770">
          <w:rPr>
            <w:rStyle w:val="Hyperlink"/>
            <w:noProof/>
          </w:rPr>
          <w:t>Experiences of unfair treatment in Victoria</w:t>
        </w:r>
        <w:r w:rsidR="00753137">
          <w:rPr>
            <w:noProof/>
            <w:webHidden/>
          </w:rPr>
          <w:tab/>
        </w:r>
        <w:r w:rsidR="00753137">
          <w:rPr>
            <w:noProof/>
            <w:webHidden/>
          </w:rPr>
          <w:fldChar w:fldCharType="begin"/>
        </w:r>
        <w:r w:rsidR="00753137">
          <w:rPr>
            <w:noProof/>
            <w:webHidden/>
          </w:rPr>
          <w:instrText xml:space="preserve"> PAGEREF _Toc14181862 \h </w:instrText>
        </w:r>
        <w:r w:rsidR="00753137">
          <w:rPr>
            <w:noProof/>
            <w:webHidden/>
          </w:rPr>
        </w:r>
        <w:r w:rsidR="00753137">
          <w:rPr>
            <w:noProof/>
            <w:webHidden/>
          </w:rPr>
          <w:fldChar w:fldCharType="separate"/>
        </w:r>
        <w:r w:rsidR="00C53002">
          <w:rPr>
            <w:noProof/>
            <w:webHidden/>
          </w:rPr>
          <w:t>8</w:t>
        </w:r>
        <w:r w:rsidR="00753137">
          <w:rPr>
            <w:noProof/>
            <w:webHidden/>
          </w:rPr>
          <w:fldChar w:fldCharType="end"/>
        </w:r>
      </w:hyperlink>
    </w:p>
    <w:p w14:paraId="27B55500" w14:textId="675C693E" w:rsidR="00753137" w:rsidRDefault="005C5108">
      <w:pPr>
        <w:pStyle w:val="TOC1"/>
        <w:rPr>
          <w:rFonts w:asciiTheme="minorHAnsi" w:eastAsiaTheme="minorEastAsia" w:hAnsiTheme="minorHAnsi"/>
          <w:b w:val="0"/>
          <w:noProof/>
          <w:sz w:val="22"/>
          <w:szCs w:val="22"/>
          <w:lang w:eastAsia="en-AU"/>
        </w:rPr>
      </w:pPr>
      <w:hyperlink w:anchor="_Toc14181863" w:history="1">
        <w:r w:rsidR="00753137" w:rsidRPr="00694770">
          <w:rPr>
            <w:rStyle w:val="Hyperlink"/>
            <w:noProof/>
          </w:rPr>
          <w:t>4.</w:t>
        </w:r>
        <w:r w:rsidR="00753137">
          <w:rPr>
            <w:rFonts w:asciiTheme="minorHAnsi" w:eastAsiaTheme="minorEastAsia" w:hAnsiTheme="minorHAnsi"/>
            <w:b w:val="0"/>
            <w:noProof/>
            <w:sz w:val="22"/>
            <w:szCs w:val="22"/>
            <w:lang w:eastAsia="en-AU"/>
          </w:rPr>
          <w:tab/>
        </w:r>
        <w:r w:rsidR="00753137" w:rsidRPr="00694770">
          <w:rPr>
            <w:rStyle w:val="Hyperlink"/>
            <w:noProof/>
          </w:rPr>
          <w:t>Reform to protect against discrimination</w:t>
        </w:r>
        <w:r w:rsidR="00753137">
          <w:rPr>
            <w:noProof/>
            <w:webHidden/>
          </w:rPr>
          <w:tab/>
        </w:r>
        <w:r w:rsidR="00753137">
          <w:rPr>
            <w:noProof/>
            <w:webHidden/>
          </w:rPr>
          <w:fldChar w:fldCharType="begin"/>
        </w:r>
        <w:r w:rsidR="00753137">
          <w:rPr>
            <w:noProof/>
            <w:webHidden/>
          </w:rPr>
          <w:instrText xml:space="preserve"> PAGEREF _Toc14181863 \h </w:instrText>
        </w:r>
        <w:r w:rsidR="00753137">
          <w:rPr>
            <w:noProof/>
            <w:webHidden/>
          </w:rPr>
        </w:r>
        <w:r w:rsidR="00753137">
          <w:rPr>
            <w:noProof/>
            <w:webHidden/>
          </w:rPr>
          <w:fldChar w:fldCharType="separate"/>
        </w:r>
        <w:r w:rsidR="00C53002">
          <w:rPr>
            <w:noProof/>
            <w:webHidden/>
          </w:rPr>
          <w:t>12</w:t>
        </w:r>
        <w:r w:rsidR="00753137">
          <w:rPr>
            <w:noProof/>
            <w:webHidden/>
          </w:rPr>
          <w:fldChar w:fldCharType="end"/>
        </w:r>
      </w:hyperlink>
    </w:p>
    <w:p w14:paraId="728AB48B" w14:textId="7609AA01" w:rsidR="00753137" w:rsidRDefault="005C5108">
      <w:pPr>
        <w:pStyle w:val="TOC2"/>
        <w:rPr>
          <w:rFonts w:asciiTheme="minorHAnsi" w:eastAsiaTheme="minorEastAsia" w:hAnsiTheme="minorHAnsi"/>
          <w:noProof/>
          <w:sz w:val="22"/>
          <w:szCs w:val="22"/>
          <w:lang w:eastAsia="en-AU"/>
        </w:rPr>
      </w:pPr>
      <w:hyperlink w:anchor="_Toc14181864" w:history="1">
        <w:r w:rsidR="00753137" w:rsidRPr="00694770">
          <w:rPr>
            <w:rStyle w:val="Hyperlink"/>
            <w:noProof/>
          </w:rPr>
          <w:t>4.1</w:t>
        </w:r>
        <w:r w:rsidR="00753137">
          <w:rPr>
            <w:rFonts w:asciiTheme="minorHAnsi" w:eastAsiaTheme="minorEastAsia" w:hAnsiTheme="minorHAnsi"/>
            <w:noProof/>
            <w:sz w:val="22"/>
            <w:szCs w:val="22"/>
            <w:lang w:eastAsia="en-AU"/>
          </w:rPr>
          <w:tab/>
        </w:r>
        <w:r w:rsidR="00753137" w:rsidRPr="00694770">
          <w:rPr>
            <w:rStyle w:val="Hyperlink"/>
            <w:noProof/>
          </w:rPr>
          <w:t>Human rights principles</w:t>
        </w:r>
        <w:r w:rsidR="00753137">
          <w:rPr>
            <w:noProof/>
            <w:webHidden/>
          </w:rPr>
          <w:tab/>
        </w:r>
        <w:r w:rsidR="00753137">
          <w:rPr>
            <w:noProof/>
            <w:webHidden/>
          </w:rPr>
          <w:fldChar w:fldCharType="begin"/>
        </w:r>
        <w:r w:rsidR="00753137">
          <w:rPr>
            <w:noProof/>
            <w:webHidden/>
          </w:rPr>
          <w:instrText xml:space="preserve"> PAGEREF _Toc14181864 \h </w:instrText>
        </w:r>
        <w:r w:rsidR="00753137">
          <w:rPr>
            <w:noProof/>
            <w:webHidden/>
          </w:rPr>
        </w:r>
        <w:r w:rsidR="00753137">
          <w:rPr>
            <w:noProof/>
            <w:webHidden/>
          </w:rPr>
          <w:fldChar w:fldCharType="separate"/>
        </w:r>
        <w:r w:rsidR="00C53002">
          <w:rPr>
            <w:noProof/>
            <w:webHidden/>
          </w:rPr>
          <w:t>13</w:t>
        </w:r>
        <w:r w:rsidR="00753137">
          <w:rPr>
            <w:noProof/>
            <w:webHidden/>
          </w:rPr>
          <w:fldChar w:fldCharType="end"/>
        </w:r>
      </w:hyperlink>
    </w:p>
    <w:p w14:paraId="4E3D26A4" w14:textId="04F13F1B" w:rsidR="00753137" w:rsidRDefault="005C5108">
      <w:pPr>
        <w:pStyle w:val="TOC2"/>
        <w:rPr>
          <w:rFonts w:asciiTheme="minorHAnsi" w:eastAsiaTheme="minorEastAsia" w:hAnsiTheme="minorHAnsi"/>
          <w:noProof/>
          <w:sz w:val="22"/>
          <w:szCs w:val="22"/>
          <w:lang w:eastAsia="en-AU"/>
        </w:rPr>
      </w:pPr>
      <w:hyperlink w:anchor="_Toc14181865" w:history="1">
        <w:r w:rsidR="00753137" w:rsidRPr="00694770">
          <w:rPr>
            <w:rStyle w:val="Hyperlink"/>
            <w:noProof/>
          </w:rPr>
          <w:t>4.2</w:t>
        </w:r>
        <w:r w:rsidR="00753137">
          <w:rPr>
            <w:rFonts w:asciiTheme="minorHAnsi" w:eastAsiaTheme="minorEastAsia" w:hAnsiTheme="minorHAnsi"/>
            <w:noProof/>
            <w:sz w:val="22"/>
            <w:szCs w:val="22"/>
            <w:lang w:eastAsia="en-AU"/>
          </w:rPr>
          <w:tab/>
        </w:r>
        <w:r w:rsidR="00753137" w:rsidRPr="00694770">
          <w:rPr>
            <w:rStyle w:val="Hyperlink"/>
            <w:noProof/>
          </w:rPr>
          <w:t>Reform to the EO Act</w:t>
        </w:r>
        <w:r w:rsidR="00753137">
          <w:rPr>
            <w:noProof/>
            <w:webHidden/>
          </w:rPr>
          <w:tab/>
        </w:r>
        <w:r w:rsidR="00753137">
          <w:rPr>
            <w:noProof/>
            <w:webHidden/>
          </w:rPr>
          <w:fldChar w:fldCharType="begin"/>
        </w:r>
        <w:r w:rsidR="00753137">
          <w:rPr>
            <w:noProof/>
            <w:webHidden/>
          </w:rPr>
          <w:instrText xml:space="preserve"> PAGEREF _Toc14181865 \h </w:instrText>
        </w:r>
        <w:r w:rsidR="00753137">
          <w:rPr>
            <w:noProof/>
            <w:webHidden/>
          </w:rPr>
        </w:r>
        <w:r w:rsidR="00753137">
          <w:rPr>
            <w:noProof/>
            <w:webHidden/>
          </w:rPr>
          <w:fldChar w:fldCharType="separate"/>
        </w:r>
        <w:r w:rsidR="00C53002">
          <w:rPr>
            <w:noProof/>
            <w:webHidden/>
          </w:rPr>
          <w:t>14</w:t>
        </w:r>
        <w:r w:rsidR="00753137">
          <w:rPr>
            <w:noProof/>
            <w:webHidden/>
          </w:rPr>
          <w:fldChar w:fldCharType="end"/>
        </w:r>
      </w:hyperlink>
    </w:p>
    <w:p w14:paraId="28E6EBE0" w14:textId="42307985" w:rsidR="00BE709A" w:rsidRDefault="002F6C8C" w:rsidP="000A6954">
      <w:pPr>
        <w:pStyle w:val="VEOHRCBodytext"/>
        <w:spacing w:before="240"/>
        <w:jc w:val="both"/>
        <w:rPr>
          <w:b/>
        </w:rPr>
      </w:pPr>
      <w:r>
        <w:rPr>
          <w:b/>
        </w:rPr>
        <w:fldChar w:fldCharType="end"/>
      </w:r>
    </w:p>
    <w:p w14:paraId="3DF3C352" w14:textId="77777777" w:rsidR="00BE709A" w:rsidRDefault="00BE709A">
      <w:pPr>
        <w:pStyle w:val="VEOHRCBodytext"/>
        <w:spacing w:before="240"/>
        <w:jc w:val="both"/>
        <w:rPr>
          <w:rFonts w:cs="Arial"/>
        </w:rPr>
      </w:pPr>
    </w:p>
    <w:p w14:paraId="4B98FD8D" w14:textId="77777777" w:rsidR="00452A9D" w:rsidRDefault="00452A9D">
      <w:pPr>
        <w:pStyle w:val="VEOHRCBodytext"/>
        <w:spacing w:before="240"/>
        <w:jc w:val="both"/>
      </w:pPr>
    </w:p>
    <w:p w14:paraId="4743DF1E" w14:textId="77777777" w:rsidR="005C2DB1" w:rsidRDefault="005C2DB1">
      <w:pPr>
        <w:keepNext/>
        <w:spacing w:before="0" w:after="200" w:line="276" w:lineRule="auto"/>
        <w:rPr>
          <w:rFonts w:eastAsiaTheme="majorEastAsia" w:cstheme="majorBidi"/>
          <w:bCs/>
          <w:sz w:val="48"/>
          <w:szCs w:val="28"/>
        </w:rPr>
      </w:pPr>
      <w:r>
        <w:br w:type="page"/>
      </w:r>
    </w:p>
    <w:p w14:paraId="0B189F55" w14:textId="77777777" w:rsidR="00AE0185" w:rsidRDefault="00AE0185">
      <w:pPr>
        <w:keepNext/>
        <w:sectPr w:rsidR="00AE0185" w:rsidSect="003606CA">
          <w:headerReference w:type="first" r:id="rId12"/>
          <w:footerReference w:type="first" r:id="rId13"/>
          <w:endnotePr>
            <w:numFmt w:val="decimal"/>
          </w:endnotePr>
          <w:pgSz w:w="11907" w:h="16839" w:code="9"/>
          <w:pgMar w:top="1134" w:right="1418" w:bottom="1134" w:left="1418" w:header="720" w:footer="720" w:gutter="0"/>
          <w:pgNumType w:start="2"/>
          <w:cols w:space="720"/>
          <w:docGrid w:linePitch="360"/>
        </w:sectPr>
      </w:pPr>
    </w:p>
    <w:p w14:paraId="4AA5420A" w14:textId="77777777" w:rsidR="00732448" w:rsidRDefault="00BE709A">
      <w:pPr>
        <w:pStyle w:val="Heading1"/>
      </w:pPr>
      <w:bookmarkStart w:id="1" w:name="_Toc14181856"/>
      <w:r>
        <w:lastRenderedPageBreak/>
        <w:t>Executive Summary</w:t>
      </w:r>
      <w:bookmarkEnd w:id="1"/>
    </w:p>
    <w:p w14:paraId="5B55893D" w14:textId="4833E2E2" w:rsidR="00652CFA" w:rsidRDefault="00BE709A">
      <w:pPr>
        <w:pStyle w:val="VEOHRCBodytext"/>
        <w:spacing w:before="240"/>
        <w:jc w:val="both"/>
        <w:rPr>
          <w:rFonts w:cs="Arial"/>
        </w:rPr>
      </w:pPr>
      <w:r w:rsidRPr="007C1527">
        <w:rPr>
          <w:rFonts w:cs="Arial"/>
        </w:rPr>
        <w:t>The Victorian Equal Opportunity and Human Rights Commission (</w:t>
      </w:r>
      <w:r>
        <w:rPr>
          <w:rFonts w:cs="Arial"/>
          <w:b/>
        </w:rPr>
        <w:t>Commission</w:t>
      </w:r>
      <w:r w:rsidRPr="007C1527">
        <w:rPr>
          <w:rFonts w:cs="Arial"/>
        </w:rPr>
        <w:t>) welcomes t</w:t>
      </w:r>
      <w:r>
        <w:rPr>
          <w:rFonts w:cs="Arial"/>
        </w:rPr>
        <w:t xml:space="preserve">he Legal and Social Issues Committee’s inquiry into a legislated spent conviction scheme </w:t>
      </w:r>
      <w:r w:rsidRPr="007C1527">
        <w:rPr>
          <w:rFonts w:cs="Arial"/>
        </w:rPr>
        <w:t>(</w:t>
      </w:r>
      <w:r>
        <w:rPr>
          <w:rFonts w:cs="Arial"/>
          <w:b/>
        </w:rPr>
        <w:t>Inquiry</w:t>
      </w:r>
      <w:r w:rsidRPr="007C1527">
        <w:rPr>
          <w:rFonts w:cs="Arial"/>
        </w:rPr>
        <w:t>)</w:t>
      </w:r>
      <w:r w:rsidR="006F6394">
        <w:rPr>
          <w:rFonts w:cs="Arial"/>
        </w:rPr>
        <w:t xml:space="preserve">. </w:t>
      </w:r>
      <w:r w:rsidR="00902244">
        <w:rPr>
          <w:rFonts w:cs="Arial"/>
        </w:rPr>
        <w:t>Having a prior criminal record can create impacts that endure long after any punishment is served for an offence</w:t>
      </w:r>
      <w:r w:rsidR="006F6394">
        <w:rPr>
          <w:rFonts w:cs="Arial"/>
        </w:rPr>
        <w:t xml:space="preserve"> and it is timely to address the appropriate use of conviction and criminal records information</w:t>
      </w:r>
      <w:r w:rsidR="00902244">
        <w:rPr>
          <w:rFonts w:cs="Arial"/>
        </w:rPr>
        <w:t xml:space="preserve">. </w:t>
      </w:r>
    </w:p>
    <w:p w14:paraId="2B32E6EA" w14:textId="006A08A5" w:rsidR="006F6394" w:rsidRDefault="008A780B">
      <w:pPr>
        <w:pStyle w:val="VEOHRCBodytext"/>
        <w:jc w:val="both"/>
        <w:rPr>
          <w:rFonts w:cs="Arial"/>
        </w:rPr>
      </w:pPr>
      <w:r>
        <w:rPr>
          <w:rFonts w:cs="Arial"/>
        </w:rPr>
        <w:t xml:space="preserve">In certain circumstances, information about a </w:t>
      </w:r>
      <w:r w:rsidR="00652CFA">
        <w:rPr>
          <w:rFonts w:cs="Arial"/>
        </w:rPr>
        <w:t xml:space="preserve">person’s </w:t>
      </w:r>
      <w:r w:rsidR="006F6394">
        <w:rPr>
          <w:rFonts w:cs="Arial"/>
        </w:rPr>
        <w:t xml:space="preserve">prior conviction or </w:t>
      </w:r>
      <w:r>
        <w:rPr>
          <w:rFonts w:cs="Arial"/>
        </w:rPr>
        <w:t>criminal record is an important and legal requirement</w:t>
      </w:r>
      <w:r>
        <w:rPr>
          <w:rStyle w:val="FootnoteReference"/>
          <w:rFonts w:cs="Arial"/>
        </w:rPr>
        <w:footnoteReference w:id="1"/>
      </w:r>
      <w:r>
        <w:rPr>
          <w:rFonts w:cs="Arial"/>
        </w:rPr>
        <w:t xml:space="preserve"> to assess suitability for a service</w:t>
      </w:r>
      <w:r w:rsidR="006F6394">
        <w:rPr>
          <w:rFonts w:cs="Arial"/>
        </w:rPr>
        <w:t xml:space="preserve"> or employment</w:t>
      </w:r>
      <w:r>
        <w:rPr>
          <w:rFonts w:cs="Arial"/>
        </w:rPr>
        <w:t xml:space="preserve">. However, the Commission is aware of use of information </w:t>
      </w:r>
      <w:r w:rsidR="006F6394">
        <w:rPr>
          <w:rFonts w:cs="Arial"/>
        </w:rPr>
        <w:t xml:space="preserve">about a person’s criminal record, </w:t>
      </w:r>
      <w:r>
        <w:rPr>
          <w:rFonts w:cs="Arial"/>
        </w:rPr>
        <w:t xml:space="preserve">in circumstances where there is no rational basis for its use. </w:t>
      </w:r>
      <w:r w:rsidR="00902244">
        <w:rPr>
          <w:rFonts w:cs="Arial"/>
        </w:rPr>
        <w:t xml:space="preserve"> </w:t>
      </w:r>
      <w:r w:rsidR="006F6394">
        <w:rPr>
          <w:rFonts w:cs="Arial"/>
        </w:rPr>
        <w:t xml:space="preserve">The Commission receives enquiries from across Victoria where people have been denied employment and access to services, long after a person is rehabilitated. </w:t>
      </w:r>
    </w:p>
    <w:p w14:paraId="3E4A0CAC" w14:textId="57979472" w:rsidR="002A180F" w:rsidRDefault="008A780B" w:rsidP="00753137">
      <w:pPr>
        <w:pStyle w:val="VEOHRCBodytext"/>
        <w:keepNext w:val="0"/>
        <w:jc w:val="both"/>
        <w:rPr>
          <w:rFonts w:cs="Arial"/>
        </w:rPr>
      </w:pPr>
      <w:r>
        <w:rPr>
          <w:rFonts w:cs="Arial"/>
        </w:rPr>
        <w:t xml:space="preserve">Such actions can cause hardship for people who have otherwise already received punishment </w:t>
      </w:r>
      <w:r w:rsidR="001E50D3">
        <w:rPr>
          <w:rFonts w:cs="Arial"/>
        </w:rPr>
        <w:t xml:space="preserve">or resolved their matters </w:t>
      </w:r>
      <w:r>
        <w:rPr>
          <w:rFonts w:cs="Arial"/>
        </w:rPr>
        <w:t>through court processes. In addition, the Commission has heard that processes for disclosure of information are either unclear or inconsistent.</w:t>
      </w:r>
      <w:r w:rsidR="001E50D3">
        <w:rPr>
          <w:rFonts w:cs="Arial"/>
        </w:rPr>
        <w:t xml:space="preserve"> The </w:t>
      </w:r>
      <w:r w:rsidR="002A180F">
        <w:rPr>
          <w:rFonts w:cs="Arial"/>
        </w:rPr>
        <w:t>impact of this unfavourable treatment falls</w:t>
      </w:r>
      <w:r w:rsidR="002319C4">
        <w:rPr>
          <w:rFonts w:cs="Arial"/>
        </w:rPr>
        <w:t xml:space="preserve"> heavily</w:t>
      </w:r>
      <w:r w:rsidR="002A180F">
        <w:rPr>
          <w:rFonts w:cs="Arial"/>
        </w:rPr>
        <w:t xml:space="preserve"> on Aboriginal Victorians, who are disproportionately represented in the criminal justice system. </w:t>
      </w:r>
    </w:p>
    <w:p w14:paraId="307E806A" w14:textId="77777777" w:rsidR="002A180F" w:rsidRDefault="002A180F" w:rsidP="00753137">
      <w:pPr>
        <w:pStyle w:val="VEOHRCBodytext"/>
        <w:keepNext w:val="0"/>
        <w:jc w:val="both"/>
        <w:rPr>
          <w:rFonts w:cs="Arial"/>
        </w:rPr>
      </w:pPr>
      <w:r>
        <w:rPr>
          <w:rFonts w:cs="Arial"/>
        </w:rPr>
        <w:t xml:space="preserve">The development of a spent conviction scheme that allows the criminal records of offenders to be amended after a certain period of time will allow people with a criminal record to move on from their prior convictions. This can </w:t>
      </w:r>
      <w:r w:rsidRPr="00902244">
        <w:rPr>
          <w:rFonts w:cs="Arial"/>
        </w:rPr>
        <w:t>assist people with a criminal record</w:t>
      </w:r>
      <w:r>
        <w:rPr>
          <w:rFonts w:cs="Arial"/>
        </w:rPr>
        <w:t xml:space="preserve"> </w:t>
      </w:r>
      <w:r w:rsidRPr="00902244">
        <w:rPr>
          <w:rFonts w:cs="Arial"/>
        </w:rPr>
        <w:t>rehabilitate by providing them with a legally sanctioned</w:t>
      </w:r>
      <w:r>
        <w:rPr>
          <w:rFonts w:cs="Arial"/>
        </w:rPr>
        <w:t xml:space="preserve"> </w:t>
      </w:r>
      <w:r w:rsidRPr="00902244">
        <w:rPr>
          <w:rFonts w:cs="Arial"/>
        </w:rPr>
        <w:t>means of ‘moving on’</w:t>
      </w:r>
      <w:r>
        <w:rPr>
          <w:rFonts w:cs="Arial"/>
        </w:rPr>
        <w:t>. The Commission supports the development of such a scheme in Victoria.</w:t>
      </w:r>
    </w:p>
    <w:p w14:paraId="14229D28" w14:textId="27572CFD" w:rsidR="002A180F" w:rsidRDefault="002A180F" w:rsidP="00753137">
      <w:pPr>
        <w:pStyle w:val="VEOHRCBodytext"/>
        <w:keepNext w:val="0"/>
        <w:jc w:val="both"/>
        <w:rPr>
          <w:rFonts w:cs="Arial"/>
        </w:rPr>
      </w:pPr>
      <w:r>
        <w:rPr>
          <w:rFonts w:cs="Arial"/>
        </w:rPr>
        <w:t xml:space="preserve">A necessary complement to such a scheme is to ensure that people are not treated unfavourably because of </w:t>
      </w:r>
      <w:r w:rsidR="00D31C1C">
        <w:rPr>
          <w:rFonts w:cs="Arial"/>
        </w:rPr>
        <w:t xml:space="preserve">an irrelevant </w:t>
      </w:r>
      <w:r>
        <w:rPr>
          <w:rFonts w:cs="Arial"/>
        </w:rPr>
        <w:t xml:space="preserve">conviction. The Commission recommends that discrimination on these grounds be unlawful through </w:t>
      </w:r>
      <w:r w:rsidR="001E50D3">
        <w:rPr>
          <w:rFonts w:cs="Arial"/>
        </w:rPr>
        <w:t xml:space="preserve">legislative </w:t>
      </w:r>
      <w:r>
        <w:rPr>
          <w:rFonts w:cs="Arial"/>
        </w:rPr>
        <w:t xml:space="preserve">amendments to add an attribute to the </w:t>
      </w:r>
      <w:r w:rsidRPr="004A6954">
        <w:rPr>
          <w:rFonts w:cs="Arial"/>
          <w:i/>
        </w:rPr>
        <w:t>Equal Opportunity Act</w:t>
      </w:r>
      <w:r w:rsidR="008E3F83" w:rsidRPr="004A6954">
        <w:rPr>
          <w:rFonts w:cs="Arial"/>
          <w:i/>
        </w:rPr>
        <w:t xml:space="preserve"> 2010</w:t>
      </w:r>
      <w:r w:rsidR="008E3F83">
        <w:rPr>
          <w:rFonts w:cs="Arial"/>
        </w:rPr>
        <w:t xml:space="preserve"> (Vic)</w:t>
      </w:r>
      <w:r>
        <w:rPr>
          <w:rFonts w:cs="Arial"/>
        </w:rPr>
        <w:t xml:space="preserve">. </w:t>
      </w:r>
      <w:r w:rsidR="001E50D3">
        <w:rPr>
          <w:rFonts w:cs="Arial"/>
        </w:rPr>
        <w:t>Such a change would provide clarity to the community about the use of criminal records and provide a mechanism for people to seek recourse if they have been unfairly, and unlawfully treated. Providing protection against discrimination in this context is supported by human</w:t>
      </w:r>
      <w:r w:rsidR="00B64DDE">
        <w:rPr>
          <w:rFonts w:cs="Arial"/>
        </w:rPr>
        <w:t xml:space="preserve"> rights principles and</w:t>
      </w:r>
      <w:r w:rsidR="001E50D3">
        <w:rPr>
          <w:rFonts w:cs="Arial"/>
        </w:rPr>
        <w:t xml:space="preserve"> is consistent with approaches across Australia.</w:t>
      </w:r>
    </w:p>
    <w:p w14:paraId="1790F31B" w14:textId="627E9D78" w:rsidR="002A180F" w:rsidRDefault="002A180F" w:rsidP="00753137">
      <w:pPr>
        <w:pStyle w:val="VEOHRCBodytext"/>
        <w:keepNext w:val="0"/>
        <w:jc w:val="both"/>
        <w:rPr>
          <w:rFonts w:cs="Arial"/>
        </w:rPr>
      </w:pPr>
      <w:r>
        <w:rPr>
          <w:rFonts w:cs="Arial"/>
        </w:rPr>
        <w:t>The Commission considers that such protection should apply to all irrelevant criminal record</w:t>
      </w:r>
      <w:r w:rsidR="00190AFE">
        <w:rPr>
          <w:rFonts w:cs="Arial"/>
        </w:rPr>
        <w:t>s</w:t>
      </w:r>
      <w:r>
        <w:rPr>
          <w:rFonts w:cs="Arial"/>
        </w:rPr>
        <w:t>, including convictions that are spent under any scheme.</w:t>
      </w:r>
      <w:r w:rsidR="001E50D3">
        <w:rPr>
          <w:rFonts w:cs="Arial"/>
        </w:rPr>
        <w:t xml:space="preserve"> The Commission also recommends that guidance is developed alongside any legislative amendments, to</w:t>
      </w:r>
      <w:r w:rsidR="00753137">
        <w:rPr>
          <w:rFonts w:cs="Arial"/>
        </w:rPr>
        <w:t xml:space="preserve"> </w:t>
      </w:r>
      <w:r w:rsidR="001E50D3">
        <w:rPr>
          <w:rFonts w:cs="Arial"/>
        </w:rPr>
        <w:t xml:space="preserve">provide necessary practical information to employers, service providers and members of the community about the permissible uses of criminal records information. </w:t>
      </w:r>
    </w:p>
    <w:p w14:paraId="6D8562BC" w14:textId="65CDB43D" w:rsidR="00BE709A" w:rsidRPr="00BE709A" w:rsidRDefault="00BE709A" w:rsidP="004A6954">
      <w:pPr>
        <w:pStyle w:val="VEOHRCBodytext"/>
        <w:jc w:val="both"/>
        <w:rPr>
          <w:rFonts w:cs="Arial"/>
        </w:rPr>
      </w:pPr>
      <w:bookmarkStart w:id="2" w:name="_Toc475361614"/>
    </w:p>
    <w:tbl>
      <w:tblPr>
        <w:tblStyle w:val="CustomTablerecommendationsbox"/>
        <w:tblW w:w="0" w:type="auto"/>
        <w:tblLook w:val="04A0" w:firstRow="1" w:lastRow="0" w:firstColumn="1" w:lastColumn="0" w:noHBand="0" w:noVBand="1"/>
      </w:tblPr>
      <w:tblGrid>
        <w:gridCol w:w="9061"/>
      </w:tblGrid>
      <w:tr w:rsidR="00BE709A" w14:paraId="398C1023" w14:textId="77777777" w:rsidTr="00475C71">
        <w:tc>
          <w:tcPr>
            <w:tcW w:w="9061" w:type="dxa"/>
          </w:tcPr>
          <w:p w14:paraId="3129BC63" w14:textId="77777777" w:rsidR="00BE709A" w:rsidRDefault="00BE709A" w:rsidP="000A6954">
            <w:pPr>
              <w:pStyle w:val="RecommendationList"/>
              <w:keepNext/>
            </w:pPr>
          </w:p>
          <w:p w14:paraId="6DD7ADC1" w14:textId="4C016B0C" w:rsidR="006F6394" w:rsidRDefault="00BE709A">
            <w:pPr>
              <w:pStyle w:val="BodyText"/>
              <w:keepNext/>
            </w:pPr>
            <w:r w:rsidRPr="00BE709A">
              <w:t xml:space="preserve">The </w:t>
            </w:r>
            <w:r w:rsidRPr="00BE709A">
              <w:rPr>
                <w:i/>
              </w:rPr>
              <w:t>Equal Opportunity Act 2010</w:t>
            </w:r>
            <w:r w:rsidRPr="00BE709A">
              <w:t xml:space="preserve"> (Vic) should be amended to prohibit discrimination </w:t>
            </w:r>
            <w:proofErr w:type="gramStart"/>
            <w:r w:rsidRPr="00BE709A">
              <w:t>on the basis of</w:t>
            </w:r>
            <w:proofErr w:type="gramEnd"/>
            <w:r w:rsidRPr="00BE709A">
              <w:t xml:space="preserve"> an irrelevant criminal record</w:t>
            </w:r>
            <w:r w:rsidR="006F6394">
              <w:t xml:space="preserve">. </w:t>
            </w:r>
          </w:p>
          <w:p w14:paraId="0631B6DC" w14:textId="77777777" w:rsidR="006F6394" w:rsidRDefault="006F6394">
            <w:pPr>
              <w:pStyle w:val="RecommendationList"/>
              <w:keepNext/>
            </w:pPr>
          </w:p>
          <w:p w14:paraId="3C40BF35" w14:textId="37BA9A9D" w:rsidR="006F6394" w:rsidRDefault="006F6394">
            <w:pPr>
              <w:pStyle w:val="BodyText"/>
              <w:keepNext/>
            </w:pPr>
            <w:r>
              <w:t xml:space="preserve">Any scheme or legislative amendment should be accompanied by the development of practical </w:t>
            </w:r>
            <w:r w:rsidR="000F07A4">
              <w:t xml:space="preserve">Guidelines </w:t>
            </w:r>
            <w:r>
              <w:t>for community, and specifically for employers, to clarify rights and responsibilities regarding the use of criminal records information.</w:t>
            </w:r>
          </w:p>
          <w:p w14:paraId="292CDFA2" w14:textId="3BC1F26D" w:rsidR="00BE709A" w:rsidRDefault="00BE709A">
            <w:pPr>
              <w:pStyle w:val="BodyText"/>
              <w:keepNext/>
            </w:pPr>
          </w:p>
        </w:tc>
      </w:tr>
    </w:tbl>
    <w:p w14:paraId="4D53D0BA" w14:textId="30DFD9B7" w:rsidR="00BE709A" w:rsidRDefault="006F6394" w:rsidP="004A6954">
      <w:pPr>
        <w:pStyle w:val="BodyText"/>
        <w:keepNext/>
        <w:rPr>
          <w:rFonts w:cs="Arial"/>
        </w:rPr>
      </w:pPr>
      <w:r>
        <w:rPr>
          <w:rFonts w:cs="Arial"/>
        </w:rPr>
        <w:t>These reforms are an important mechanism for supporting the dignity and equality of Victorians to be treated fairly and on merit. They will also have significant practical consequences in alleviating ongoing disadvantage.</w:t>
      </w:r>
    </w:p>
    <w:p w14:paraId="16B00F1C" w14:textId="77777777" w:rsidR="00753137" w:rsidRDefault="00753137" w:rsidP="004A6954">
      <w:pPr>
        <w:pStyle w:val="BodyText"/>
        <w:keepNext/>
      </w:pPr>
    </w:p>
    <w:p w14:paraId="237B4A63" w14:textId="77777777" w:rsidR="00BE709A" w:rsidRDefault="00BE709A" w:rsidP="004A6954">
      <w:pPr>
        <w:pStyle w:val="Heading1"/>
        <w:keepLines/>
        <w:pageBreakBefore w:val="0"/>
      </w:pPr>
      <w:bookmarkStart w:id="3" w:name="_Toc14181857"/>
      <w:r>
        <w:t>About the Commission</w:t>
      </w:r>
      <w:bookmarkEnd w:id="3"/>
    </w:p>
    <w:p w14:paraId="4BE17122" w14:textId="77777777" w:rsidR="00BE709A" w:rsidRPr="00D44A82" w:rsidRDefault="00BE709A" w:rsidP="000A6954">
      <w:pPr>
        <w:pStyle w:val="Heading2"/>
        <w:numPr>
          <w:ilvl w:val="0"/>
          <w:numId w:val="0"/>
        </w:numPr>
        <w:tabs>
          <w:tab w:val="left" w:pos="993"/>
        </w:tabs>
      </w:pPr>
      <w:bookmarkStart w:id="4" w:name="_Toc13584527"/>
      <w:bookmarkStart w:id="5" w:name="_Toc14181858"/>
      <w:r>
        <w:t xml:space="preserve">2.1 </w:t>
      </w:r>
      <w:r>
        <w:tab/>
      </w:r>
      <w:r w:rsidRPr="00D44A82">
        <w:t>Our role and functions</w:t>
      </w:r>
      <w:bookmarkEnd w:id="4"/>
      <w:bookmarkEnd w:id="5"/>
    </w:p>
    <w:p w14:paraId="22BE15E5" w14:textId="77777777" w:rsidR="00BE709A" w:rsidRDefault="00BE709A" w:rsidP="00753137">
      <w:r w:rsidRPr="0093168B">
        <w:t xml:space="preserve">The Commission is an independent statutory body with responsibilities under </w:t>
      </w:r>
      <w:r>
        <w:t>the following Victorian laws</w:t>
      </w:r>
      <w:r w:rsidRPr="0093168B">
        <w:t xml:space="preserve">: </w:t>
      </w:r>
      <w:proofErr w:type="gramStart"/>
      <w:r>
        <w:t>the</w:t>
      </w:r>
      <w:proofErr w:type="gramEnd"/>
      <w:r>
        <w:t xml:space="preserve"> </w:t>
      </w:r>
      <w:r w:rsidRPr="008660B9">
        <w:t>Equal Opportunity Act</w:t>
      </w:r>
      <w:r>
        <w:t xml:space="preserve"> 2010 (Vic) (</w:t>
      </w:r>
      <w:r w:rsidRPr="00BE709A">
        <w:rPr>
          <w:b/>
        </w:rPr>
        <w:t>EO Act</w:t>
      </w:r>
      <w:r>
        <w:t xml:space="preserve">); the </w:t>
      </w:r>
      <w:r w:rsidRPr="006B6A90">
        <w:rPr>
          <w:rFonts w:cs="Arial"/>
          <w:i/>
        </w:rPr>
        <w:t>Charter of Human Rights and Responsibilities</w:t>
      </w:r>
      <w:r>
        <w:rPr>
          <w:rFonts w:cs="Arial"/>
        </w:rPr>
        <w:t xml:space="preserve"> (</w:t>
      </w:r>
      <w:r w:rsidRPr="00E07024">
        <w:rPr>
          <w:rFonts w:cs="Arial"/>
          <w:b/>
        </w:rPr>
        <w:t>Charter</w:t>
      </w:r>
      <w:r>
        <w:rPr>
          <w:rFonts w:cs="Arial"/>
        </w:rPr>
        <w:t>)</w:t>
      </w:r>
      <w:r>
        <w:t xml:space="preserve">; and the </w:t>
      </w:r>
      <w:r w:rsidRPr="0093168B">
        <w:rPr>
          <w:rStyle w:val="Characteritalic"/>
        </w:rPr>
        <w:t>Racial and Religious Tolerance Act 2001</w:t>
      </w:r>
      <w:r w:rsidRPr="0093168B">
        <w:t>.</w:t>
      </w:r>
    </w:p>
    <w:p w14:paraId="715AC549" w14:textId="77777777" w:rsidR="00BE709A" w:rsidRPr="0093168B" w:rsidRDefault="00BE709A" w:rsidP="00753137">
      <w:r w:rsidRPr="0093168B">
        <w:t>Our role is to protect and promote human rights and eliminate discrimination, sexual harassment and victimisation, to the greatest extent possible. We do this through a range of functions.</w:t>
      </w:r>
    </w:p>
    <w:tbl>
      <w:tblPr>
        <w:tblW w:w="9464" w:type="dxa"/>
        <w:tblBorders>
          <w:insideH w:val="single" w:sz="4" w:space="0" w:color="auto"/>
          <w:insideV w:val="single" w:sz="4" w:space="0" w:color="auto"/>
        </w:tblBorders>
        <w:tblLook w:val="04A0" w:firstRow="1" w:lastRow="0" w:firstColumn="1" w:lastColumn="0" w:noHBand="0" w:noVBand="1"/>
      </w:tblPr>
      <w:tblGrid>
        <w:gridCol w:w="1526"/>
        <w:gridCol w:w="7938"/>
      </w:tblGrid>
      <w:tr w:rsidR="00BE709A" w14:paraId="5E1D4582" w14:textId="77777777" w:rsidTr="00475C71">
        <w:tc>
          <w:tcPr>
            <w:tcW w:w="1526" w:type="dxa"/>
            <w:tcBorders>
              <w:top w:val="nil"/>
              <w:left w:val="nil"/>
              <w:bottom w:val="single" w:sz="4" w:space="0" w:color="5B9BD5"/>
              <w:right w:val="single" w:sz="4" w:space="0" w:color="5B9BD5"/>
            </w:tcBorders>
            <w:hideMark/>
          </w:tcPr>
          <w:p w14:paraId="424F6C38" w14:textId="77777777" w:rsidR="00BE709A" w:rsidRPr="0093168B" w:rsidRDefault="00BE709A">
            <w:pPr>
              <w:pStyle w:val="TableBodyText"/>
              <w:keepNext/>
              <w:rPr>
                <w:rStyle w:val="Characterbold"/>
                <w:rFonts w:eastAsiaTheme="minorHAnsi" w:cstheme="minorBidi"/>
                <w:bCs w:val="0"/>
                <w:sz w:val="24"/>
                <w:szCs w:val="20"/>
                <w:lang w:eastAsia="en-US"/>
              </w:rPr>
            </w:pPr>
            <w:r w:rsidRPr="0093168B">
              <w:rPr>
                <w:rStyle w:val="Characterbold"/>
              </w:rPr>
              <w:t>Resolve complaints</w:t>
            </w:r>
          </w:p>
        </w:tc>
        <w:tc>
          <w:tcPr>
            <w:tcW w:w="7938" w:type="dxa"/>
            <w:tcBorders>
              <w:top w:val="nil"/>
              <w:left w:val="single" w:sz="4" w:space="0" w:color="5B9BD5"/>
              <w:bottom w:val="single" w:sz="4" w:space="0" w:color="5B9BD5"/>
              <w:right w:val="nil"/>
            </w:tcBorders>
            <w:hideMark/>
          </w:tcPr>
          <w:p w14:paraId="7BF76CFE" w14:textId="77777777" w:rsidR="00BE709A" w:rsidRPr="0093168B" w:rsidRDefault="00BE709A">
            <w:pPr>
              <w:pStyle w:val="TableBodyText"/>
              <w:keepNext/>
            </w:pPr>
            <w:r w:rsidRPr="0093168B">
              <w:t>We resolve complaints of discrimination, sexual harassment, racial and religious vilification and victimisation by providing a free confidential dispute resolution service.</w:t>
            </w:r>
          </w:p>
        </w:tc>
      </w:tr>
      <w:tr w:rsidR="00BE709A" w14:paraId="7AE0BAE7" w14:textId="77777777" w:rsidTr="00475C71">
        <w:trPr>
          <w:trHeight w:val="661"/>
        </w:trPr>
        <w:tc>
          <w:tcPr>
            <w:tcW w:w="1526" w:type="dxa"/>
            <w:tcBorders>
              <w:top w:val="single" w:sz="4" w:space="0" w:color="5B9BD5"/>
              <w:left w:val="nil"/>
              <w:bottom w:val="single" w:sz="4" w:space="0" w:color="5B9BD5"/>
              <w:right w:val="single" w:sz="4" w:space="0" w:color="5B9BD5"/>
            </w:tcBorders>
            <w:hideMark/>
          </w:tcPr>
          <w:p w14:paraId="2400622C" w14:textId="77777777" w:rsidR="00BE709A" w:rsidRPr="0093168B" w:rsidRDefault="00BE709A" w:rsidP="000A6954">
            <w:pPr>
              <w:pStyle w:val="TableBodyText"/>
              <w:keepNext/>
              <w:rPr>
                <w:rStyle w:val="Characterbold"/>
                <w:rFonts w:eastAsiaTheme="minorHAnsi" w:cstheme="minorBidi"/>
                <w:bCs w:val="0"/>
                <w:sz w:val="24"/>
                <w:szCs w:val="20"/>
                <w:lang w:eastAsia="en-US"/>
              </w:rPr>
            </w:pPr>
            <w:r w:rsidRPr="0093168B">
              <w:rPr>
                <w:rStyle w:val="Characterbold"/>
              </w:rPr>
              <w:t>Research</w:t>
            </w:r>
          </w:p>
        </w:tc>
        <w:tc>
          <w:tcPr>
            <w:tcW w:w="7938" w:type="dxa"/>
            <w:tcBorders>
              <w:top w:val="single" w:sz="4" w:space="0" w:color="5B9BD5"/>
              <w:left w:val="single" w:sz="4" w:space="0" w:color="5B9BD5"/>
              <w:bottom w:val="single" w:sz="4" w:space="0" w:color="5B9BD5"/>
              <w:right w:val="nil"/>
            </w:tcBorders>
            <w:hideMark/>
          </w:tcPr>
          <w:p w14:paraId="3DC2F293" w14:textId="77777777" w:rsidR="00BE709A" w:rsidRPr="0093168B" w:rsidRDefault="00BE709A">
            <w:pPr>
              <w:pStyle w:val="TableBodyText"/>
              <w:keepNext/>
            </w:pPr>
            <w:r w:rsidRPr="0093168B">
              <w:t>We undertake research to understand and find solutions to systemic causes of discrimination and human rights breaches.</w:t>
            </w:r>
          </w:p>
        </w:tc>
      </w:tr>
      <w:tr w:rsidR="00BE709A" w14:paraId="7877579B" w14:textId="77777777" w:rsidTr="00475C71">
        <w:trPr>
          <w:trHeight w:val="1499"/>
        </w:trPr>
        <w:tc>
          <w:tcPr>
            <w:tcW w:w="1526" w:type="dxa"/>
            <w:tcBorders>
              <w:top w:val="single" w:sz="4" w:space="0" w:color="5B9BD5"/>
              <w:left w:val="nil"/>
              <w:bottom w:val="single" w:sz="4" w:space="0" w:color="5B9BD5"/>
              <w:right w:val="single" w:sz="4" w:space="0" w:color="5B9BD5"/>
            </w:tcBorders>
            <w:hideMark/>
          </w:tcPr>
          <w:p w14:paraId="1A6F3764" w14:textId="77777777" w:rsidR="00BE709A" w:rsidRPr="0093168B" w:rsidRDefault="00BE709A" w:rsidP="000A6954">
            <w:pPr>
              <w:pStyle w:val="TableBodyText"/>
              <w:keepNext/>
              <w:rPr>
                <w:rStyle w:val="Characterbold"/>
                <w:rFonts w:eastAsiaTheme="minorHAnsi" w:cstheme="minorBidi"/>
                <w:bCs w:val="0"/>
                <w:sz w:val="24"/>
                <w:szCs w:val="20"/>
                <w:lang w:eastAsia="en-US"/>
              </w:rPr>
            </w:pPr>
            <w:r w:rsidRPr="0093168B">
              <w:rPr>
                <w:rStyle w:val="Characterbold"/>
              </w:rPr>
              <w:t>Educate</w:t>
            </w:r>
          </w:p>
        </w:tc>
        <w:tc>
          <w:tcPr>
            <w:tcW w:w="7938" w:type="dxa"/>
            <w:tcBorders>
              <w:top w:val="single" w:sz="4" w:space="0" w:color="5B9BD5"/>
              <w:left w:val="single" w:sz="4" w:space="0" w:color="5B9BD5"/>
              <w:bottom w:val="single" w:sz="4" w:space="0" w:color="5B9BD5"/>
              <w:right w:val="nil"/>
            </w:tcBorders>
            <w:hideMark/>
          </w:tcPr>
          <w:p w14:paraId="37ACBA64" w14:textId="77777777" w:rsidR="00BE709A" w:rsidRPr="0093168B" w:rsidRDefault="00BE709A">
            <w:pPr>
              <w:pStyle w:val="TableBodyText"/>
              <w:keepNext/>
            </w:pPr>
            <w:r w:rsidRPr="0093168B">
              <w:t>We provide information to help people understand and assert their rights, conduct voluntary reviews of programs and practices to help organisations comply with their human rights obligations and provide education and consultancy services to drive leading practice in equality, diversity and human rights, including a collaborative approach to developing equal opportunity action plans.</w:t>
            </w:r>
          </w:p>
        </w:tc>
      </w:tr>
      <w:tr w:rsidR="00BE709A" w14:paraId="00767F81" w14:textId="77777777" w:rsidTr="00475C71">
        <w:trPr>
          <w:trHeight w:val="911"/>
        </w:trPr>
        <w:tc>
          <w:tcPr>
            <w:tcW w:w="1526" w:type="dxa"/>
            <w:tcBorders>
              <w:top w:val="single" w:sz="4" w:space="0" w:color="5B9BD5"/>
              <w:left w:val="nil"/>
              <w:bottom w:val="single" w:sz="4" w:space="0" w:color="5B9BD5"/>
              <w:right w:val="single" w:sz="4" w:space="0" w:color="5B9BD5"/>
            </w:tcBorders>
            <w:hideMark/>
          </w:tcPr>
          <w:p w14:paraId="1568C7E0" w14:textId="77777777" w:rsidR="00BE709A" w:rsidRPr="0093168B" w:rsidRDefault="00BE709A" w:rsidP="000A6954">
            <w:pPr>
              <w:pStyle w:val="TableBodyText"/>
              <w:keepNext/>
              <w:rPr>
                <w:rStyle w:val="Characterbold"/>
                <w:rFonts w:eastAsiaTheme="minorHAnsi" w:cstheme="minorBidi"/>
                <w:bCs w:val="0"/>
                <w:sz w:val="24"/>
                <w:szCs w:val="20"/>
                <w:lang w:eastAsia="en-US"/>
              </w:rPr>
            </w:pPr>
            <w:r w:rsidRPr="0093168B">
              <w:rPr>
                <w:rStyle w:val="Characterbold"/>
              </w:rPr>
              <w:t>Advocate</w:t>
            </w:r>
          </w:p>
        </w:tc>
        <w:tc>
          <w:tcPr>
            <w:tcW w:w="7938" w:type="dxa"/>
            <w:tcBorders>
              <w:top w:val="single" w:sz="4" w:space="0" w:color="5B9BD5"/>
              <w:left w:val="single" w:sz="4" w:space="0" w:color="5B9BD5"/>
              <w:bottom w:val="single" w:sz="4" w:space="0" w:color="5B9BD5"/>
              <w:right w:val="nil"/>
            </w:tcBorders>
            <w:hideMark/>
          </w:tcPr>
          <w:p w14:paraId="6FC8ABDF" w14:textId="77777777" w:rsidR="00BE709A" w:rsidRPr="0093168B" w:rsidRDefault="00BE709A">
            <w:pPr>
              <w:pStyle w:val="TableBodyText"/>
              <w:keepNext/>
            </w:pPr>
            <w:r w:rsidRPr="0093168B">
              <w:t>We raise awareness across the community about the importance of equality and human rights, encouraging meaningful debate, leading public discussion and challenging discriminatory views/behaviours.</w:t>
            </w:r>
          </w:p>
        </w:tc>
      </w:tr>
      <w:tr w:rsidR="00BE709A" w14:paraId="1C2D2525" w14:textId="77777777" w:rsidTr="00475C71">
        <w:trPr>
          <w:trHeight w:val="545"/>
        </w:trPr>
        <w:tc>
          <w:tcPr>
            <w:tcW w:w="1526" w:type="dxa"/>
            <w:tcBorders>
              <w:top w:val="single" w:sz="4" w:space="0" w:color="5B9BD5"/>
              <w:left w:val="nil"/>
              <w:bottom w:val="single" w:sz="4" w:space="0" w:color="5B9BD5"/>
              <w:right w:val="single" w:sz="4" w:space="0" w:color="5B9BD5"/>
            </w:tcBorders>
            <w:hideMark/>
          </w:tcPr>
          <w:p w14:paraId="5D062425" w14:textId="77777777" w:rsidR="00BE709A" w:rsidRPr="0093168B" w:rsidRDefault="00BE709A" w:rsidP="000A6954">
            <w:pPr>
              <w:pStyle w:val="TableBodyText"/>
              <w:keepNext/>
              <w:rPr>
                <w:rStyle w:val="Characterbold"/>
                <w:rFonts w:eastAsiaTheme="minorHAnsi" w:cstheme="minorBidi"/>
                <w:bCs w:val="0"/>
                <w:sz w:val="24"/>
                <w:szCs w:val="20"/>
                <w:lang w:eastAsia="en-US"/>
              </w:rPr>
            </w:pPr>
            <w:r w:rsidRPr="0093168B">
              <w:rPr>
                <w:rStyle w:val="Characterbold"/>
              </w:rPr>
              <w:t>Monitor</w:t>
            </w:r>
          </w:p>
        </w:tc>
        <w:tc>
          <w:tcPr>
            <w:tcW w:w="7938" w:type="dxa"/>
            <w:tcBorders>
              <w:top w:val="single" w:sz="4" w:space="0" w:color="5B9BD5"/>
              <w:left w:val="single" w:sz="4" w:space="0" w:color="5B9BD5"/>
              <w:bottom w:val="single" w:sz="4" w:space="0" w:color="5B9BD5"/>
              <w:right w:val="nil"/>
            </w:tcBorders>
            <w:hideMark/>
          </w:tcPr>
          <w:p w14:paraId="4FA586B1" w14:textId="77777777" w:rsidR="00BE709A" w:rsidRPr="0093168B" w:rsidRDefault="00BE709A">
            <w:pPr>
              <w:pStyle w:val="TableBodyText"/>
              <w:keepNext/>
            </w:pPr>
            <w:r w:rsidRPr="0093168B">
              <w:t>We monitor the operation of the Charter to track Victoria’s progress in protecting fundamental rights.</w:t>
            </w:r>
          </w:p>
        </w:tc>
      </w:tr>
      <w:tr w:rsidR="00BE709A" w14:paraId="624AD08D" w14:textId="77777777" w:rsidTr="00475C71">
        <w:tc>
          <w:tcPr>
            <w:tcW w:w="1526" w:type="dxa"/>
            <w:tcBorders>
              <w:top w:val="single" w:sz="4" w:space="0" w:color="5B9BD5"/>
              <w:left w:val="nil"/>
              <w:bottom w:val="nil"/>
              <w:right w:val="single" w:sz="4" w:space="0" w:color="5B9BD5"/>
            </w:tcBorders>
            <w:hideMark/>
          </w:tcPr>
          <w:p w14:paraId="0AF6C50D" w14:textId="77777777" w:rsidR="00BE709A" w:rsidRPr="0093168B" w:rsidRDefault="00BE709A" w:rsidP="00753137">
            <w:pPr>
              <w:pStyle w:val="TableBodyText"/>
              <w:rPr>
                <w:rStyle w:val="Characterbold"/>
                <w:rFonts w:eastAsiaTheme="minorHAnsi" w:cstheme="minorBidi"/>
                <w:bCs w:val="0"/>
                <w:sz w:val="24"/>
                <w:szCs w:val="20"/>
                <w:lang w:eastAsia="en-US"/>
              </w:rPr>
            </w:pPr>
            <w:r w:rsidRPr="0093168B">
              <w:rPr>
                <w:rStyle w:val="Characterbold"/>
              </w:rPr>
              <w:t>Enforce</w:t>
            </w:r>
          </w:p>
        </w:tc>
        <w:tc>
          <w:tcPr>
            <w:tcW w:w="7938" w:type="dxa"/>
            <w:tcBorders>
              <w:top w:val="single" w:sz="4" w:space="0" w:color="5B9BD5"/>
              <w:left w:val="single" w:sz="4" w:space="0" w:color="5B9BD5"/>
              <w:bottom w:val="nil"/>
              <w:right w:val="nil"/>
            </w:tcBorders>
            <w:hideMark/>
          </w:tcPr>
          <w:p w14:paraId="37F23793" w14:textId="77777777" w:rsidR="00BE709A" w:rsidRPr="0093168B" w:rsidRDefault="00BE709A" w:rsidP="00753137">
            <w:pPr>
              <w:pStyle w:val="TableBodyText"/>
            </w:pPr>
            <w:r w:rsidRPr="0093168B">
              <w:t>We intervene in court proceedings to bring an expert independent perspective to cases raising equal opportunity, discrimination and human rights issues. We also conduct investigations to identify and eliminate systemic discrimination.</w:t>
            </w:r>
          </w:p>
        </w:tc>
      </w:tr>
    </w:tbl>
    <w:p w14:paraId="6B2F9C5E" w14:textId="77777777" w:rsidR="005C738B" w:rsidRPr="00D44A82" w:rsidRDefault="005C738B" w:rsidP="000A6954">
      <w:pPr>
        <w:pStyle w:val="Heading2"/>
        <w:numPr>
          <w:ilvl w:val="0"/>
          <w:numId w:val="0"/>
        </w:numPr>
        <w:tabs>
          <w:tab w:val="left" w:pos="993"/>
        </w:tabs>
      </w:pPr>
      <w:bookmarkStart w:id="6" w:name="_Toc14181859"/>
      <w:r>
        <w:lastRenderedPageBreak/>
        <w:t>2.2</w:t>
      </w:r>
      <w:r>
        <w:tab/>
      </w:r>
      <w:r w:rsidR="000A2063">
        <w:t>Contribution to this Inquiry</w:t>
      </w:r>
      <w:bookmarkEnd w:id="6"/>
    </w:p>
    <w:p w14:paraId="06EDE299" w14:textId="77777777" w:rsidR="005D1116" w:rsidRDefault="005D1116">
      <w:pPr>
        <w:pStyle w:val="VEOHRCBodytext"/>
        <w:jc w:val="both"/>
        <w:rPr>
          <w:rFonts w:cs="Arial"/>
        </w:rPr>
      </w:pPr>
      <w:bookmarkStart w:id="7" w:name="_Hlk13657053"/>
      <w:r>
        <w:rPr>
          <w:rFonts w:cs="Arial"/>
        </w:rPr>
        <w:t xml:space="preserve">The </w:t>
      </w:r>
      <w:r w:rsidRPr="0049182B">
        <w:rPr>
          <w:rFonts w:cs="Arial"/>
        </w:rPr>
        <w:t>Committee is investigating the need for and potential impact of a</w:t>
      </w:r>
      <w:r>
        <w:rPr>
          <w:rFonts w:cs="Arial"/>
        </w:rPr>
        <w:t xml:space="preserve"> </w:t>
      </w:r>
      <w:r w:rsidRPr="0049182B">
        <w:rPr>
          <w:rFonts w:cs="Arial"/>
        </w:rPr>
        <w:t>spent convictions scheme, including the types of criminal records that should be capable of being spent and the</w:t>
      </w:r>
      <w:r>
        <w:rPr>
          <w:rFonts w:cs="Arial"/>
        </w:rPr>
        <w:t xml:space="preserve"> </w:t>
      </w:r>
      <w:r w:rsidRPr="0049182B">
        <w:rPr>
          <w:rFonts w:cs="Arial"/>
        </w:rPr>
        <w:t>mechanism by which convictions become spent</w:t>
      </w:r>
      <w:r>
        <w:rPr>
          <w:rFonts w:cs="Arial"/>
        </w:rPr>
        <w:t xml:space="preserve">. </w:t>
      </w:r>
    </w:p>
    <w:p w14:paraId="6F1ACD43" w14:textId="7F98E7AA" w:rsidR="005D1116" w:rsidRDefault="00652CFA">
      <w:pPr>
        <w:pStyle w:val="VEOHRCBodytext"/>
        <w:jc w:val="both"/>
        <w:rPr>
          <w:rFonts w:cs="Arial"/>
        </w:rPr>
      </w:pPr>
      <w:r>
        <w:rPr>
          <w:rFonts w:cs="Arial"/>
        </w:rPr>
        <w:t>I</w:t>
      </w:r>
      <w:r w:rsidR="005D1116">
        <w:rPr>
          <w:rFonts w:cs="Arial"/>
        </w:rPr>
        <w:t>n considering the design of such a scheme, the Committee is tasked with having regard to:</w:t>
      </w:r>
    </w:p>
    <w:p w14:paraId="39F43B8F" w14:textId="77777777" w:rsidR="005D1116" w:rsidRPr="005D1116" w:rsidRDefault="005D1116">
      <w:pPr>
        <w:pStyle w:val="ListBullet"/>
        <w:keepNext/>
        <w:jc w:val="both"/>
      </w:pPr>
      <w:r w:rsidRPr="0049182B">
        <w:rPr>
          <w:rFonts w:cs="Arial"/>
        </w:rPr>
        <w:t xml:space="preserve">the experience of groups in our community who suffer </w:t>
      </w:r>
      <w:proofErr w:type="gramStart"/>
      <w:r w:rsidRPr="0049182B">
        <w:rPr>
          <w:rFonts w:cs="Arial"/>
        </w:rPr>
        <w:t>particular disadvantage</w:t>
      </w:r>
      <w:proofErr w:type="gramEnd"/>
      <w:r w:rsidRPr="0049182B">
        <w:rPr>
          <w:rFonts w:cs="Arial"/>
        </w:rPr>
        <w:t xml:space="preserve"> due to past convictions, such as young people and Aboriginal and Torres Strait Islander people; and</w:t>
      </w:r>
    </w:p>
    <w:p w14:paraId="0FCC80E5" w14:textId="4D54F579" w:rsidR="005D1116" w:rsidRPr="005D1116" w:rsidRDefault="005D1116">
      <w:pPr>
        <w:pStyle w:val="ListBullet"/>
        <w:keepNext/>
        <w:jc w:val="both"/>
      </w:pPr>
      <w:r w:rsidRPr="005D1116">
        <w:rPr>
          <w:rFonts w:cs="Arial"/>
        </w:rPr>
        <w:t>the public interest in ensuring that the disclosure of criminal history records in Victoria operates in a fair and transparent manner and balances the interests of offender rehabilitation and reintegration with community safety, including the safety of vulnerable Victorians and the safety and wellbeing of victims</w:t>
      </w:r>
      <w:r>
        <w:rPr>
          <w:rFonts w:cs="Arial"/>
        </w:rPr>
        <w:t>.</w:t>
      </w:r>
    </w:p>
    <w:p w14:paraId="1C8EB89D" w14:textId="7371C2E5" w:rsidR="000A2063" w:rsidRDefault="000A2063">
      <w:pPr>
        <w:pStyle w:val="VEOHRCBodytext"/>
        <w:jc w:val="both"/>
        <w:rPr>
          <w:rFonts w:cs="Arial"/>
        </w:rPr>
      </w:pPr>
      <w:r>
        <w:rPr>
          <w:rFonts w:cs="Arial"/>
        </w:rPr>
        <w:t xml:space="preserve">The </w:t>
      </w:r>
      <w:r w:rsidR="006F6394">
        <w:rPr>
          <w:rFonts w:cs="Arial"/>
        </w:rPr>
        <w:t xml:space="preserve">Commission recognises that the development of a spent convictions scheme, and consideration of discrimination in that context, raises issues regarding the interaction of criminal, workplace, privacy and discrimination laws. </w:t>
      </w:r>
      <w:r>
        <w:rPr>
          <w:rFonts w:cs="Arial"/>
        </w:rPr>
        <w:t>Commission’s submission is directed to the following Terms of Reference:</w:t>
      </w:r>
      <w:r>
        <w:rPr>
          <w:rStyle w:val="FootnoteReference"/>
          <w:rFonts w:cs="Arial"/>
        </w:rPr>
        <w:footnoteReference w:id="2"/>
      </w:r>
      <w:r>
        <w:rPr>
          <w:rFonts w:cs="Arial"/>
        </w:rPr>
        <w:t xml:space="preserve"> </w:t>
      </w:r>
    </w:p>
    <w:p w14:paraId="2A4D1942" w14:textId="77777777" w:rsidR="000A2063" w:rsidRDefault="000A2063">
      <w:pPr>
        <w:pStyle w:val="ListBullet"/>
        <w:keepNext/>
      </w:pPr>
      <w:r>
        <w:t>2(</w:t>
      </w:r>
      <w:proofErr w:type="spellStart"/>
      <w:r>
        <w:t>i</w:t>
      </w:r>
      <w:proofErr w:type="spellEnd"/>
      <w:r>
        <w:t>); ‘</w:t>
      </w:r>
      <w:r w:rsidRPr="002E53E1">
        <w:t>the committee should consider the design of such a scheme that would be appropriate for Victoria, including, but not limited to…the interaction between any proposed ‘scheme’ and other legislation’</w:t>
      </w:r>
      <w:r>
        <w:t xml:space="preserve"> </w:t>
      </w:r>
      <w:r w:rsidRPr="008C1330">
        <w:t>and</w:t>
      </w:r>
    </w:p>
    <w:p w14:paraId="6ACEB19F" w14:textId="77777777" w:rsidR="000A2063" w:rsidRDefault="000A2063">
      <w:pPr>
        <w:pStyle w:val="ListBullet"/>
        <w:keepNext/>
      </w:pPr>
      <w:r>
        <w:t>3; ‘</w:t>
      </w:r>
      <w:r w:rsidRPr="002E53E1">
        <w:t>in consider</w:t>
      </w:r>
      <w:r>
        <w:t>ing</w:t>
      </w:r>
      <w:r w:rsidRPr="002E53E1">
        <w:t xml:space="preserve"> the need for and design of a legislated spent conviction scheme, the committee should have regard to the experience of groups in our community who suffer particular disadvantage due to past convictions, such as young people and </w:t>
      </w:r>
      <w:r>
        <w:t>A</w:t>
      </w:r>
      <w:r w:rsidRPr="002E53E1">
        <w:t xml:space="preserve">boriginal </w:t>
      </w:r>
      <w:r>
        <w:t xml:space="preserve">and </w:t>
      </w:r>
      <w:r w:rsidRPr="002E53E1">
        <w:t>Torres Strait Islander people’</w:t>
      </w:r>
    </w:p>
    <w:p w14:paraId="4B089146" w14:textId="3724A581" w:rsidR="005D1116" w:rsidRDefault="005D1116">
      <w:pPr>
        <w:keepNext/>
        <w:rPr>
          <w:rFonts w:cs="Arial"/>
        </w:rPr>
      </w:pPr>
      <w:proofErr w:type="gramStart"/>
      <w:r>
        <w:rPr>
          <w:rFonts w:cs="Arial"/>
        </w:rPr>
        <w:t>In particular, the</w:t>
      </w:r>
      <w:proofErr w:type="gramEnd"/>
      <w:r>
        <w:rPr>
          <w:rFonts w:cs="Arial"/>
        </w:rPr>
        <w:t xml:space="preserve"> Commission’s submission makes recommendations regarding the interaction of any scheme with Victoria’s EO </w:t>
      </w:r>
      <w:r w:rsidR="000C6493">
        <w:rPr>
          <w:rFonts w:cs="Arial"/>
        </w:rPr>
        <w:t>Act and</w:t>
      </w:r>
      <w:r>
        <w:rPr>
          <w:rFonts w:cs="Arial"/>
        </w:rPr>
        <w:t xml:space="preserve"> highlights the need for reform</w:t>
      </w:r>
      <w:r w:rsidR="00B30561">
        <w:rPr>
          <w:rFonts w:cs="Arial"/>
        </w:rPr>
        <w:t xml:space="preserve"> to </w:t>
      </w:r>
      <w:r w:rsidR="002F1127">
        <w:rPr>
          <w:rFonts w:cs="Arial"/>
        </w:rPr>
        <w:t>anti-discrimination</w:t>
      </w:r>
      <w:r w:rsidR="00B30561">
        <w:rPr>
          <w:rFonts w:cs="Arial"/>
        </w:rPr>
        <w:t xml:space="preserve"> law</w:t>
      </w:r>
      <w:r>
        <w:rPr>
          <w:rFonts w:cs="Arial"/>
        </w:rPr>
        <w:t>.</w:t>
      </w:r>
      <w:r w:rsidR="006F6394">
        <w:rPr>
          <w:rFonts w:cs="Arial"/>
        </w:rPr>
        <w:t xml:space="preserve"> </w:t>
      </w:r>
    </w:p>
    <w:p w14:paraId="5A21B7BA" w14:textId="42C95A72" w:rsidR="00753137" w:rsidRDefault="000A2063">
      <w:pPr>
        <w:pStyle w:val="BodyText"/>
        <w:keepNext/>
        <w:rPr>
          <w:rFonts w:cs="Arial"/>
        </w:rPr>
      </w:pPr>
      <w:r>
        <w:rPr>
          <w:rFonts w:cs="Arial"/>
        </w:rPr>
        <w:t xml:space="preserve">The Commission does not </w:t>
      </w:r>
      <w:r w:rsidR="005D1116">
        <w:rPr>
          <w:rFonts w:cs="Arial"/>
        </w:rPr>
        <w:t xml:space="preserve">make recommendations for the content of </w:t>
      </w:r>
      <w:r w:rsidR="00D50123">
        <w:rPr>
          <w:rFonts w:cs="Arial"/>
        </w:rPr>
        <w:t>a</w:t>
      </w:r>
      <w:r w:rsidR="005D1116">
        <w:rPr>
          <w:rFonts w:cs="Arial"/>
        </w:rPr>
        <w:t xml:space="preserve"> spent convictions </w:t>
      </w:r>
      <w:r w:rsidR="000C6493">
        <w:rPr>
          <w:rFonts w:cs="Arial"/>
        </w:rPr>
        <w:t>scheme but</w:t>
      </w:r>
      <w:r w:rsidR="005D1116">
        <w:rPr>
          <w:rFonts w:cs="Arial"/>
        </w:rPr>
        <w:t xml:space="preserve"> commends to the Committee the submissions of members of the community with experiences of criminal records discrimination, including </w:t>
      </w:r>
      <w:r>
        <w:rPr>
          <w:rFonts w:cs="Arial"/>
        </w:rPr>
        <w:t xml:space="preserve">the submission of </w:t>
      </w:r>
      <w:proofErr w:type="spellStart"/>
      <w:r>
        <w:rPr>
          <w:rFonts w:cs="Arial"/>
        </w:rPr>
        <w:t>Woor-Dungin</w:t>
      </w:r>
      <w:proofErr w:type="spellEnd"/>
      <w:r>
        <w:rPr>
          <w:rFonts w:cs="Arial"/>
        </w:rPr>
        <w:t>.</w:t>
      </w:r>
      <w:r>
        <w:rPr>
          <w:rStyle w:val="FootnoteReference"/>
          <w:rFonts w:cs="Arial"/>
        </w:rPr>
        <w:footnoteReference w:id="3"/>
      </w:r>
      <w:bookmarkEnd w:id="7"/>
    </w:p>
    <w:p w14:paraId="5CEB1D21" w14:textId="22AEEAE3" w:rsidR="009F3FAF" w:rsidRPr="00753137" w:rsidRDefault="00753137" w:rsidP="00753137">
      <w:pPr>
        <w:spacing w:before="0" w:after="200" w:line="276" w:lineRule="auto"/>
        <w:rPr>
          <w:rFonts w:cs="Arial"/>
        </w:rPr>
      </w:pPr>
      <w:r>
        <w:rPr>
          <w:rFonts w:cs="Arial"/>
        </w:rPr>
        <w:br w:type="page"/>
      </w:r>
    </w:p>
    <w:p w14:paraId="5A923BE7" w14:textId="77777777" w:rsidR="00561238" w:rsidRDefault="009F3FAF" w:rsidP="004A6954">
      <w:pPr>
        <w:pStyle w:val="Heading1"/>
        <w:pageBreakBefore w:val="0"/>
      </w:pPr>
      <w:bookmarkStart w:id="8" w:name="_Toc14181860"/>
      <w:bookmarkEnd w:id="2"/>
      <w:r>
        <w:lastRenderedPageBreak/>
        <w:t>Criminal records</w:t>
      </w:r>
      <w:r w:rsidR="00475C71">
        <w:t xml:space="preserve"> discrimination</w:t>
      </w:r>
      <w:bookmarkEnd w:id="8"/>
    </w:p>
    <w:p w14:paraId="3710E4E2" w14:textId="42C43F77" w:rsidR="00475C71" w:rsidRPr="00475C71" w:rsidRDefault="00190BB6" w:rsidP="000A6954">
      <w:pPr>
        <w:pStyle w:val="Heading2"/>
      </w:pPr>
      <w:bookmarkStart w:id="9" w:name="_Toc14181861"/>
      <w:r>
        <w:t>The legal framework</w:t>
      </w:r>
      <w:bookmarkEnd w:id="9"/>
    </w:p>
    <w:p w14:paraId="38FAF1C6" w14:textId="7D6232FD" w:rsidR="00185E99" w:rsidRDefault="005D1116">
      <w:pPr>
        <w:keepNext/>
        <w:rPr>
          <w:rFonts w:cs="Arial"/>
        </w:rPr>
      </w:pPr>
      <w:r>
        <w:rPr>
          <w:rFonts w:eastAsia="Arial Unicode MS" w:cs="Arial"/>
          <w:szCs w:val="24"/>
          <w:lang w:val="en-GB" w:eastAsia="en-AU"/>
        </w:rPr>
        <w:t xml:space="preserve">Victorians who have a criminal history may face </w:t>
      </w:r>
      <w:r w:rsidRPr="005D1116">
        <w:rPr>
          <w:rFonts w:eastAsia="Arial Unicode MS" w:cs="Arial"/>
          <w:szCs w:val="24"/>
          <w:lang w:val="en-GB" w:eastAsia="en-AU"/>
        </w:rPr>
        <w:t xml:space="preserve">significant barriers to full participation in the community. </w:t>
      </w:r>
      <w:r w:rsidR="0049182B" w:rsidRPr="0049182B">
        <w:rPr>
          <w:rFonts w:cs="Arial"/>
        </w:rPr>
        <w:t>The use of criminal history information</w:t>
      </w:r>
      <w:r w:rsidR="00B64DDE">
        <w:rPr>
          <w:rFonts w:cs="Arial"/>
        </w:rPr>
        <w:t>, or more specifically, a ‘criminal record’,</w:t>
      </w:r>
      <w:r w:rsidR="0049182B" w:rsidRPr="0049182B">
        <w:rPr>
          <w:rFonts w:cs="Arial"/>
        </w:rPr>
        <w:t xml:space="preserve"> can seriously affect </w:t>
      </w:r>
      <w:r w:rsidR="00832E86">
        <w:rPr>
          <w:rFonts w:cs="Arial"/>
        </w:rPr>
        <w:t>Victorians</w:t>
      </w:r>
      <w:r>
        <w:rPr>
          <w:rFonts w:cs="Arial"/>
        </w:rPr>
        <w:t xml:space="preserve"> </w:t>
      </w:r>
      <w:r w:rsidR="0049182B">
        <w:rPr>
          <w:rFonts w:cs="Arial"/>
        </w:rPr>
        <w:t>in a range of circumstances; from release of information to prospective employers, accommodation providers, or admission as a member of club. Other services</w:t>
      </w:r>
      <w:r w:rsidR="006446C6">
        <w:rPr>
          <w:rFonts w:cs="Arial"/>
        </w:rPr>
        <w:t xml:space="preserve">, such as financial or </w:t>
      </w:r>
      <w:r w:rsidR="0049182B">
        <w:rPr>
          <w:rFonts w:cs="Arial"/>
        </w:rPr>
        <w:t xml:space="preserve">government services, may use </w:t>
      </w:r>
      <w:r w:rsidR="00B64DDE">
        <w:rPr>
          <w:rFonts w:cs="Arial"/>
        </w:rPr>
        <w:t>a criminal record</w:t>
      </w:r>
      <w:r w:rsidR="0049182B">
        <w:rPr>
          <w:rFonts w:cs="Arial"/>
        </w:rPr>
        <w:t xml:space="preserve"> to make</w:t>
      </w:r>
      <w:r w:rsidR="006446C6">
        <w:rPr>
          <w:rFonts w:cs="Arial"/>
        </w:rPr>
        <w:t xml:space="preserve"> decisions about eligibility.</w:t>
      </w:r>
    </w:p>
    <w:p w14:paraId="536258D9" w14:textId="47A62D02" w:rsidR="00190BB6" w:rsidRDefault="00190BB6">
      <w:pPr>
        <w:keepNext/>
        <w:rPr>
          <w:rFonts w:cs="Arial"/>
        </w:rPr>
      </w:pPr>
      <w:r>
        <w:rPr>
          <w:rFonts w:cs="Arial"/>
        </w:rPr>
        <w:t xml:space="preserve">In Victoria, there is currently no mechanism for criminal </w:t>
      </w:r>
      <w:r w:rsidR="00B64DDE">
        <w:rPr>
          <w:rFonts w:cs="Arial"/>
        </w:rPr>
        <w:t xml:space="preserve">records </w:t>
      </w:r>
      <w:r>
        <w:rPr>
          <w:rFonts w:cs="Arial"/>
        </w:rPr>
        <w:t xml:space="preserve">to become </w:t>
      </w:r>
      <w:r w:rsidR="00185E99">
        <w:rPr>
          <w:rFonts w:cs="Arial"/>
        </w:rPr>
        <w:t>‘</w:t>
      </w:r>
      <w:r>
        <w:rPr>
          <w:rFonts w:cs="Arial"/>
        </w:rPr>
        <w:t>spent</w:t>
      </w:r>
      <w:r w:rsidR="00185E99">
        <w:rPr>
          <w:rFonts w:cs="Arial"/>
        </w:rPr>
        <w:t>’</w:t>
      </w:r>
      <w:r w:rsidR="001C3249">
        <w:rPr>
          <w:rFonts w:cs="Arial"/>
        </w:rPr>
        <w:t xml:space="preserve">, meaning that a criminal </w:t>
      </w:r>
      <w:r w:rsidR="00B64DDE">
        <w:rPr>
          <w:rFonts w:cs="Arial"/>
        </w:rPr>
        <w:t xml:space="preserve">record </w:t>
      </w:r>
      <w:r w:rsidR="001C3249">
        <w:rPr>
          <w:rFonts w:cs="Arial"/>
        </w:rPr>
        <w:t>may impact on a person’s employment prospects, or access to services such as housing</w:t>
      </w:r>
      <w:r>
        <w:rPr>
          <w:rFonts w:cs="Arial"/>
        </w:rPr>
        <w:t>. In the absence of a spent convictions scheme in Victoria, once a person is found guilty of a crime, information about that crime stay</w:t>
      </w:r>
      <w:r w:rsidR="00B67435">
        <w:rPr>
          <w:rFonts w:cs="Arial"/>
        </w:rPr>
        <w:t>s</w:t>
      </w:r>
      <w:r>
        <w:rPr>
          <w:rFonts w:cs="Arial"/>
        </w:rPr>
        <w:t xml:space="preserve"> on a person’s criminal record unless that conviction is overturned, quashed, annulled. </w:t>
      </w:r>
    </w:p>
    <w:p w14:paraId="4139A548" w14:textId="6528DBE4" w:rsidR="00185E99" w:rsidRDefault="00185E99">
      <w:pPr>
        <w:keepNext/>
        <w:rPr>
          <w:rFonts w:cs="Arial"/>
        </w:rPr>
      </w:pPr>
      <w:r>
        <w:rPr>
          <w:rFonts w:cs="Arial"/>
        </w:rPr>
        <w:t>In addition, there are limited avenues for Victorians to seek redress if they consider they have been unfairly treated because of their criminal</w:t>
      </w:r>
      <w:r w:rsidR="00B64DDE">
        <w:rPr>
          <w:rFonts w:cs="Arial"/>
        </w:rPr>
        <w:t xml:space="preserve"> record</w:t>
      </w:r>
      <w:r>
        <w:rPr>
          <w:rFonts w:cs="Arial"/>
        </w:rPr>
        <w:t>. In th</w:t>
      </w:r>
      <w:r w:rsidR="00B67435">
        <w:rPr>
          <w:rFonts w:cs="Arial"/>
        </w:rPr>
        <w:t>is submission</w:t>
      </w:r>
      <w:r>
        <w:rPr>
          <w:rFonts w:cs="Arial"/>
        </w:rPr>
        <w:t>, we set out legal considerations relevant to the Committee’s Inquiry, including the protections available at state and federal law, and relevant human rights considerations.</w:t>
      </w:r>
    </w:p>
    <w:p w14:paraId="05985A0A" w14:textId="5D6B5B98" w:rsidR="00190BB6" w:rsidRDefault="00190BB6">
      <w:pPr>
        <w:pStyle w:val="Heading3"/>
      </w:pPr>
      <w:r>
        <w:t xml:space="preserve">Legal protection from discrimination </w:t>
      </w:r>
    </w:p>
    <w:p w14:paraId="68F7C890" w14:textId="0706D50C" w:rsidR="001C3249" w:rsidRDefault="001C3249">
      <w:pPr>
        <w:pStyle w:val="BodyText"/>
        <w:keepNext/>
        <w:rPr>
          <w:lang w:eastAsia="en-AU"/>
        </w:rPr>
      </w:pPr>
      <w:r>
        <w:rPr>
          <w:lang w:eastAsia="en-AU"/>
        </w:rPr>
        <w:t xml:space="preserve">Victoria’s EO Act </w:t>
      </w:r>
      <w:r w:rsidRPr="001C3249">
        <w:rPr>
          <w:lang w:eastAsia="en-AU"/>
        </w:rPr>
        <w:t>protects people from discrimination in areas of public life such as workplaces, schools, clubs, shops or places that provide services.</w:t>
      </w:r>
      <w:r>
        <w:rPr>
          <w:lang w:eastAsia="en-AU"/>
        </w:rPr>
        <w:t xml:space="preserve"> </w:t>
      </w:r>
      <w:r w:rsidRPr="001C3249">
        <w:rPr>
          <w:lang w:eastAsia="en-AU"/>
        </w:rPr>
        <w:t>Discrimination is treating, or proposing to treat, someone unfavourably because of a personal characteristic protected by the law.</w:t>
      </w:r>
    </w:p>
    <w:p w14:paraId="2CD6415F" w14:textId="73EE9DC3" w:rsidR="001C3249" w:rsidRDefault="001C3249">
      <w:pPr>
        <w:pStyle w:val="BodyText"/>
        <w:keepNext/>
        <w:rPr>
          <w:lang w:eastAsia="en-AU"/>
        </w:rPr>
      </w:pPr>
      <w:r>
        <w:rPr>
          <w:lang w:eastAsia="en-AU"/>
        </w:rPr>
        <w:t xml:space="preserve">Having a criminal record or a spent conviction is </w:t>
      </w:r>
      <w:r w:rsidRPr="004A6954">
        <w:rPr>
          <w:lang w:eastAsia="en-AU"/>
        </w:rPr>
        <w:t>not</w:t>
      </w:r>
      <w:r>
        <w:rPr>
          <w:lang w:eastAsia="en-AU"/>
        </w:rPr>
        <w:t xml:space="preserve"> a personal characteristic, or attribute, protected by the EO Act. </w:t>
      </w:r>
      <w:r w:rsidR="00D06083">
        <w:rPr>
          <w:lang w:eastAsia="en-AU"/>
        </w:rPr>
        <w:t xml:space="preserve">It is not unlawful to treat someone unfavourably because of their criminal record, and </w:t>
      </w:r>
      <w:r w:rsidR="00605B32">
        <w:rPr>
          <w:lang w:eastAsia="en-AU"/>
        </w:rPr>
        <w:t xml:space="preserve">the Commission cannot accept complaints about discrimination </w:t>
      </w:r>
      <w:proofErr w:type="gramStart"/>
      <w:r w:rsidR="00605B32">
        <w:rPr>
          <w:lang w:eastAsia="en-AU"/>
        </w:rPr>
        <w:t>on the basis of</w:t>
      </w:r>
      <w:proofErr w:type="gramEnd"/>
      <w:r w:rsidR="00605B32">
        <w:rPr>
          <w:lang w:eastAsia="en-AU"/>
        </w:rPr>
        <w:t xml:space="preserve"> a criminal record</w:t>
      </w:r>
      <w:r w:rsidR="00D06083">
        <w:rPr>
          <w:lang w:eastAsia="en-AU"/>
        </w:rPr>
        <w:t>.</w:t>
      </w:r>
    </w:p>
    <w:p w14:paraId="06D73A46" w14:textId="0E771044" w:rsidR="001C3249" w:rsidRDefault="001C3249">
      <w:pPr>
        <w:pStyle w:val="BodyText"/>
        <w:keepNext/>
        <w:rPr>
          <w:lang w:eastAsia="en-AU"/>
        </w:rPr>
      </w:pPr>
      <w:r>
        <w:rPr>
          <w:lang w:eastAsia="en-AU"/>
        </w:rPr>
        <w:t>The inclusion of an attribute of ‘irrelevant criminal record’ was recommended by a 20</w:t>
      </w:r>
      <w:r w:rsidR="00605B32">
        <w:rPr>
          <w:lang w:eastAsia="en-AU"/>
        </w:rPr>
        <w:t>08</w:t>
      </w:r>
      <w:r>
        <w:rPr>
          <w:lang w:eastAsia="en-AU"/>
        </w:rPr>
        <w:t xml:space="preserve"> Review of the</w:t>
      </w:r>
      <w:r w:rsidR="00B64DDE">
        <w:rPr>
          <w:lang w:eastAsia="en-AU"/>
        </w:rPr>
        <w:t xml:space="preserve"> EO Act</w:t>
      </w:r>
      <w:r>
        <w:rPr>
          <w:lang w:eastAsia="en-AU"/>
        </w:rPr>
        <w:t>,</w:t>
      </w:r>
      <w:r>
        <w:rPr>
          <w:rStyle w:val="FootnoteReference"/>
          <w:lang w:eastAsia="en-AU"/>
        </w:rPr>
        <w:footnoteReference w:id="4"/>
      </w:r>
      <w:r>
        <w:rPr>
          <w:lang w:eastAsia="en-AU"/>
        </w:rPr>
        <w:t xml:space="preserve"> </w:t>
      </w:r>
      <w:r w:rsidR="00605B32">
        <w:rPr>
          <w:lang w:eastAsia="en-AU"/>
        </w:rPr>
        <w:t>which looked at the impact of criminal records discrimination, and Victoria’s anomalous position compared to the protections offered in other Australian jurisdictions. H</w:t>
      </w:r>
      <w:r>
        <w:rPr>
          <w:lang w:eastAsia="en-AU"/>
        </w:rPr>
        <w:t xml:space="preserve">owever this </w:t>
      </w:r>
      <w:r w:rsidR="00CB39EC">
        <w:rPr>
          <w:lang w:eastAsia="en-AU"/>
        </w:rPr>
        <w:t>recommendation</w:t>
      </w:r>
      <w:r>
        <w:rPr>
          <w:lang w:eastAsia="en-AU"/>
        </w:rPr>
        <w:t xml:space="preserve"> </w:t>
      </w:r>
      <w:r w:rsidR="00CB39EC">
        <w:rPr>
          <w:lang w:eastAsia="en-AU"/>
        </w:rPr>
        <w:t>was</w:t>
      </w:r>
      <w:r w:rsidR="00B64DDE">
        <w:rPr>
          <w:lang w:eastAsia="en-AU"/>
        </w:rPr>
        <w:t xml:space="preserve"> ultimately</w:t>
      </w:r>
      <w:r w:rsidR="00CB39EC">
        <w:rPr>
          <w:lang w:eastAsia="en-AU"/>
        </w:rPr>
        <w:t xml:space="preserve"> not implemented in the</w:t>
      </w:r>
      <w:r w:rsidR="00B64DDE">
        <w:rPr>
          <w:lang w:eastAsia="en-AU"/>
        </w:rPr>
        <w:t xml:space="preserve"> 2010 reforms to</w:t>
      </w:r>
      <w:r w:rsidR="00CB39EC">
        <w:rPr>
          <w:lang w:eastAsia="en-AU"/>
        </w:rPr>
        <w:t xml:space="preserve"> EO Act.</w:t>
      </w:r>
      <w:r>
        <w:rPr>
          <w:lang w:eastAsia="en-AU"/>
        </w:rPr>
        <w:t xml:space="preserve"> </w:t>
      </w:r>
    </w:p>
    <w:p w14:paraId="2C27F31F" w14:textId="7AFBBBF5" w:rsidR="001C3249" w:rsidRDefault="001C3249">
      <w:pPr>
        <w:pStyle w:val="BodyText"/>
        <w:keepNext/>
        <w:rPr>
          <w:lang w:eastAsia="en-AU"/>
        </w:rPr>
      </w:pPr>
      <w:r>
        <w:rPr>
          <w:lang w:eastAsia="en-AU"/>
        </w:rPr>
        <w:t xml:space="preserve">The EO </w:t>
      </w:r>
      <w:r w:rsidR="002F1127">
        <w:rPr>
          <w:lang w:eastAsia="en-AU"/>
        </w:rPr>
        <w:t xml:space="preserve">Act </w:t>
      </w:r>
      <w:r w:rsidR="00CB39EC">
        <w:rPr>
          <w:lang w:eastAsia="en-AU"/>
        </w:rPr>
        <w:t xml:space="preserve">does </w:t>
      </w:r>
      <w:r>
        <w:rPr>
          <w:lang w:eastAsia="en-AU"/>
        </w:rPr>
        <w:t xml:space="preserve">provide protection from discrimination </w:t>
      </w:r>
      <w:proofErr w:type="gramStart"/>
      <w:r>
        <w:rPr>
          <w:lang w:eastAsia="en-AU"/>
        </w:rPr>
        <w:t>on the basis of</w:t>
      </w:r>
      <w:proofErr w:type="gramEnd"/>
      <w:r>
        <w:rPr>
          <w:lang w:eastAsia="en-AU"/>
        </w:rPr>
        <w:t xml:space="preserve"> an expunged homosexual conviction. This attribute was introduced to the EO Act alongside a scheme to allow people convicted of historical homosexual offences to have their convictions expunged (removed from record).</w:t>
      </w:r>
      <w:r>
        <w:rPr>
          <w:rStyle w:val="FootnoteReference"/>
          <w:lang w:eastAsia="en-AU"/>
        </w:rPr>
        <w:footnoteReference w:id="5"/>
      </w:r>
      <w:r>
        <w:rPr>
          <w:lang w:eastAsia="en-AU"/>
        </w:rPr>
        <w:t xml:space="preserve"> From 1 September 2015, it has been unlawful to discriminate against a person who has successfully applied to have their historic homosexual conviction expunged.</w:t>
      </w:r>
    </w:p>
    <w:p w14:paraId="254BC687" w14:textId="08B7C830" w:rsidR="00A21026" w:rsidRDefault="00A21026">
      <w:pPr>
        <w:pStyle w:val="BodyText"/>
        <w:keepNext/>
        <w:rPr>
          <w:lang w:eastAsia="en-AU"/>
        </w:rPr>
      </w:pPr>
      <w:r>
        <w:rPr>
          <w:lang w:eastAsia="en-AU"/>
        </w:rPr>
        <w:t xml:space="preserve">Although there is no general protection against criminal records discrimination in Victoria, the Commission receives enquiries about them. Information about these </w:t>
      </w:r>
      <w:r>
        <w:rPr>
          <w:lang w:eastAsia="en-AU"/>
        </w:rPr>
        <w:lastRenderedPageBreak/>
        <w:t xml:space="preserve">enquiries, including the </w:t>
      </w:r>
      <w:r w:rsidR="00C425C4">
        <w:rPr>
          <w:lang w:eastAsia="en-AU"/>
        </w:rPr>
        <w:t>significant</w:t>
      </w:r>
      <w:r>
        <w:rPr>
          <w:lang w:eastAsia="en-AU"/>
        </w:rPr>
        <w:t xml:space="preserve"> impact </w:t>
      </w:r>
      <w:r w:rsidR="006D3BF6">
        <w:rPr>
          <w:lang w:eastAsia="en-AU"/>
        </w:rPr>
        <w:t>that criminal records discrimination may have</w:t>
      </w:r>
      <w:r>
        <w:rPr>
          <w:lang w:eastAsia="en-AU"/>
        </w:rPr>
        <w:t>, is detailed below in Section</w:t>
      </w:r>
      <w:r w:rsidR="00D50123">
        <w:rPr>
          <w:lang w:eastAsia="en-AU"/>
        </w:rPr>
        <w:t xml:space="preserve"> </w:t>
      </w:r>
      <w:r w:rsidR="00B2335A">
        <w:rPr>
          <w:lang w:eastAsia="en-AU"/>
        </w:rPr>
        <w:t>3.2 below</w:t>
      </w:r>
      <w:r>
        <w:rPr>
          <w:lang w:eastAsia="en-AU"/>
        </w:rPr>
        <w:t>.</w:t>
      </w:r>
    </w:p>
    <w:p w14:paraId="2E6A8B06" w14:textId="2B240954" w:rsidR="00CB39EC" w:rsidRDefault="006D3BF6">
      <w:pPr>
        <w:pStyle w:val="Heading3"/>
      </w:pPr>
      <w:r>
        <w:t>Legal p</w:t>
      </w:r>
      <w:r w:rsidR="00A21026">
        <w:t>rotection in other jurisdictions</w:t>
      </w:r>
    </w:p>
    <w:p w14:paraId="25CE80C3" w14:textId="72660986" w:rsidR="00CB39EC" w:rsidRDefault="00CB39EC">
      <w:pPr>
        <w:pStyle w:val="VEOHRCBodytext"/>
        <w:jc w:val="both"/>
      </w:pPr>
      <w:r>
        <w:rPr>
          <w:rFonts w:cs="Arial"/>
        </w:rPr>
        <w:t>The Australian Human Rights Commission (</w:t>
      </w:r>
      <w:r w:rsidRPr="005B6F74">
        <w:rPr>
          <w:rFonts w:cs="Arial"/>
          <w:b/>
        </w:rPr>
        <w:t>AHRC</w:t>
      </w:r>
      <w:r>
        <w:rPr>
          <w:rFonts w:cs="Arial"/>
        </w:rPr>
        <w:t>) has the power to inquire into any act or practice that may constitute discrimination.</w:t>
      </w:r>
      <w:r>
        <w:rPr>
          <w:rStyle w:val="FootnoteReference"/>
          <w:rFonts w:cs="Arial"/>
        </w:rPr>
        <w:footnoteReference w:id="6"/>
      </w:r>
      <w:r>
        <w:rPr>
          <w:rFonts w:cs="Arial"/>
        </w:rPr>
        <w:t xml:space="preserve"> Australia has declared criminal record as a ground of discrimination for the purposes of the </w:t>
      </w:r>
      <w:r w:rsidRPr="00957535">
        <w:rPr>
          <w:i/>
        </w:rPr>
        <w:t>Australian Human Rights Commission Act 1986</w:t>
      </w:r>
      <w:r>
        <w:t xml:space="preserve"> (</w:t>
      </w:r>
      <w:proofErr w:type="spellStart"/>
      <w:r>
        <w:t>Cth</w:t>
      </w:r>
      <w:proofErr w:type="spellEnd"/>
      <w:r>
        <w:t>)</w:t>
      </w:r>
      <w:r w:rsidR="00D50123">
        <w:t xml:space="preserve"> (</w:t>
      </w:r>
      <w:r w:rsidR="00D50123">
        <w:rPr>
          <w:b/>
        </w:rPr>
        <w:t>AHRC Act</w:t>
      </w:r>
      <w:r w:rsidR="00D50123">
        <w:t>)</w:t>
      </w:r>
      <w:r>
        <w:t>.</w:t>
      </w:r>
      <w:r>
        <w:rPr>
          <w:rStyle w:val="FootnoteReference"/>
        </w:rPr>
        <w:footnoteReference w:id="7"/>
      </w:r>
      <w:r w:rsidR="00365EF0">
        <w:t xml:space="preserve"> </w:t>
      </w:r>
    </w:p>
    <w:p w14:paraId="42AAB535" w14:textId="26FC4481" w:rsidR="00D50123" w:rsidRDefault="00D50123">
      <w:pPr>
        <w:pStyle w:val="VEOHRCBodytext"/>
        <w:jc w:val="both"/>
      </w:pPr>
      <w:r>
        <w:t>‘Discrimination’ in the AHRC Act is defined as a distinction, exclusion or preference that has the effect of nullifying or impairing equality of opportunity or treatment in employment or occupation. In this way, the AHRC may inquire into complaints of rejection of job applications, termination from employment, lack of promotion, harassment in the workplace and lack of training for employment or promotion purposes.</w:t>
      </w:r>
    </w:p>
    <w:p w14:paraId="6F2AEBE8" w14:textId="107EB49A" w:rsidR="00A21026" w:rsidRDefault="00365EF0" w:rsidP="004A6954">
      <w:pPr>
        <w:pStyle w:val="VEOHRCBodytext"/>
        <w:jc w:val="both"/>
      </w:pPr>
      <w:r>
        <w:t>The AHRC reports that in 2017-2018, it received 95 complaints about criminal record discrimination.</w:t>
      </w:r>
      <w:r>
        <w:rPr>
          <w:rStyle w:val="FootnoteReference"/>
        </w:rPr>
        <w:footnoteReference w:id="8"/>
      </w:r>
      <w:r w:rsidR="000265FD">
        <w:t xml:space="preserve"> </w:t>
      </w:r>
      <w:r w:rsidR="00CB39EC">
        <w:t>If the AHRC finds that an act or practice constitutes discrimination, and the complaint is unable to be conciliated, then the Commission</w:t>
      </w:r>
      <w:r>
        <w:t xml:space="preserve"> may </w:t>
      </w:r>
      <w:r w:rsidR="00CB39EC">
        <w:t>prepar</w:t>
      </w:r>
      <w:r>
        <w:t>e</w:t>
      </w:r>
      <w:r w:rsidR="00CB39EC">
        <w:t xml:space="preserve"> a report</w:t>
      </w:r>
      <w:r>
        <w:t>,</w:t>
      </w:r>
      <w:r w:rsidR="00CB39EC">
        <w:t xml:space="preserve"> with recommendations, to the federal Attorney-General for tabling in parliament. </w:t>
      </w:r>
    </w:p>
    <w:tbl>
      <w:tblPr>
        <w:tblStyle w:val="CustomTablebreakoutbox"/>
        <w:tblpPr w:leftFromText="180" w:rightFromText="180" w:vertAnchor="text" w:horzAnchor="margin" w:tblpY="1180"/>
        <w:tblW w:w="0" w:type="auto"/>
        <w:tblLook w:val="04A0" w:firstRow="1" w:lastRow="0" w:firstColumn="1" w:lastColumn="0" w:noHBand="0" w:noVBand="1"/>
      </w:tblPr>
      <w:tblGrid>
        <w:gridCol w:w="9061"/>
      </w:tblGrid>
      <w:tr w:rsidR="00B2335A" w14:paraId="4534536B" w14:textId="77777777" w:rsidTr="00B2335A">
        <w:tc>
          <w:tcPr>
            <w:tcW w:w="9061" w:type="dxa"/>
          </w:tcPr>
          <w:p w14:paraId="4410BEBB" w14:textId="77777777" w:rsidR="00B2335A" w:rsidRDefault="00B2335A" w:rsidP="000A6954">
            <w:pPr>
              <w:pStyle w:val="VEOHRCBodytext"/>
              <w:jc w:val="both"/>
              <w:rPr>
                <w:rFonts w:cs="Arial"/>
              </w:rPr>
            </w:pPr>
            <w:r w:rsidRPr="00336E76">
              <w:rPr>
                <w:b/>
                <w:i/>
              </w:rPr>
              <w:t>BE v Suncorp Group Ltd</w:t>
            </w:r>
            <w:r w:rsidRPr="00336E76">
              <w:rPr>
                <w:b/>
              </w:rPr>
              <w:t xml:space="preserve"> [2018] </w:t>
            </w:r>
            <w:proofErr w:type="spellStart"/>
            <w:r w:rsidRPr="00336E76">
              <w:rPr>
                <w:b/>
              </w:rPr>
              <w:t>AusHRC</w:t>
            </w:r>
            <w:proofErr w:type="spellEnd"/>
            <w:r w:rsidRPr="00336E76">
              <w:rPr>
                <w:b/>
              </w:rPr>
              <w:t xml:space="preserve"> 122</w:t>
            </w:r>
            <w:r>
              <w:rPr>
                <w:rStyle w:val="FootnoteReference"/>
              </w:rPr>
              <w:footnoteRef/>
            </w:r>
          </w:p>
          <w:p w14:paraId="5171E9D1" w14:textId="77777777" w:rsidR="00B2335A" w:rsidRDefault="00B2335A" w:rsidP="00391B9D">
            <w:pPr>
              <w:pStyle w:val="VEOHRCBodytext"/>
              <w:jc w:val="both"/>
            </w:pPr>
            <w:r>
              <w:t xml:space="preserve">BE had been convicted of a serious offence in 2008, and in 2015 applied to work in an ‘on call’ customer service role for Suncorp. His job offer was rescinded once Suncorp discovered his criminal record, on the basis his conduct did not align with Suncorp’s company values. </w:t>
            </w:r>
          </w:p>
          <w:p w14:paraId="1A23E79F" w14:textId="77777777" w:rsidR="00B2335A" w:rsidRDefault="00B2335A" w:rsidP="00391B9D">
            <w:pPr>
              <w:pStyle w:val="VEOHRCBodytext"/>
              <w:jc w:val="both"/>
            </w:pPr>
            <w:r>
              <w:t>The AHRC conducted an inquiry into whether discrimination on the basis of criminal records had occurred.</w:t>
            </w:r>
          </w:p>
          <w:p w14:paraId="6E79796E" w14:textId="77777777" w:rsidR="00B2335A" w:rsidRDefault="00B2335A" w:rsidP="004A6954">
            <w:pPr>
              <w:pStyle w:val="VEOHRCBodytext"/>
              <w:jc w:val="both"/>
            </w:pPr>
            <w:r>
              <w:t xml:space="preserve">President Croucher found that Suncorp had discriminated against a person on the basis of his criminal record by excluding him from a position which he was able to perform. Notwithstanding the seriousness of BE’s former convictions, President Croucher did not consider that he would be unable to fulfil the employment requirements to be ‘trustworthy’ and of ‘good character’, and that his criminal record suggested he was unable to perform duties of the position. </w:t>
            </w:r>
          </w:p>
        </w:tc>
      </w:tr>
    </w:tbl>
    <w:p w14:paraId="5A1DB758" w14:textId="45EE4E50" w:rsidR="00CB39EC" w:rsidRPr="00A21026" w:rsidRDefault="00CB39EC" w:rsidP="004A6954">
      <w:pPr>
        <w:pStyle w:val="VEOHRCBodytext"/>
        <w:jc w:val="both"/>
      </w:pPr>
      <w:r>
        <w:t xml:space="preserve">The </w:t>
      </w:r>
      <w:r w:rsidR="00365EF0">
        <w:t>AHRC</w:t>
      </w:r>
      <w:r>
        <w:t xml:space="preserve"> does not have the power to make respondents to a complaint comply with or implement its recommendations. </w:t>
      </w:r>
      <w:r w:rsidR="00365EF0">
        <w:t>An example of the AHRC’s inquiry reports is discussed below.</w:t>
      </w:r>
    </w:p>
    <w:p w14:paraId="54DA8BE9" w14:textId="77777777" w:rsidR="00753137" w:rsidRDefault="00753137" w:rsidP="004A6954">
      <w:pPr>
        <w:pStyle w:val="VEOHRCBodytext"/>
        <w:jc w:val="both"/>
      </w:pPr>
    </w:p>
    <w:p w14:paraId="1DD18AED" w14:textId="0274C5F2" w:rsidR="00BE06D8" w:rsidRDefault="00D50123" w:rsidP="004A6954">
      <w:pPr>
        <w:pStyle w:val="VEOHRCBodytext"/>
        <w:jc w:val="both"/>
      </w:pPr>
      <w:r>
        <w:t xml:space="preserve">The AHRC has released Guidelines for employers to prevent discrimination </w:t>
      </w:r>
      <w:proofErr w:type="gramStart"/>
      <w:r>
        <w:t>on the basis of</w:t>
      </w:r>
      <w:proofErr w:type="gramEnd"/>
      <w:r>
        <w:t xml:space="preserve"> a criminal record.</w:t>
      </w:r>
      <w:r>
        <w:rPr>
          <w:rStyle w:val="FootnoteReference"/>
        </w:rPr>
        <w:footnoteReference w:id="9"/>
      </w:r>
      <w:r>
        <w:t xml:space="preserve"> These Guidelines canvas matters including the relevant </w:t>
      </w:r>
      <w:r>
        <w:lastRenderedPageBreak/>
        <w:t>law, how to assess what is an inherent requirement of the job, recruitment processes, and policies and procedures to prevent discrimination.</w:t>
      </w:r>
      <w:r w:rsidR="000C6493">
        <w:t xml:space="preserve"> </w:t>
      </w:r>
    </w:p>
    <w:p w14:paraId="057F1E8A" w14:textId="0EE88154" w:rsidR="00CB39EC" w:rsidRDefault="00CB39EC" w:rsidP="004A6954">
      <w:pPr>
        <w:pStyle w:val="BodyText"/>
        <w:keepNext/>
        <w:rPr>
          <w:lang w:eastAsia="en-AU"/>
        </w:rPr>
      </w:pPr>
      <w:r>
        <w:rPr>
          <w:lang w:eastAsia="en-AU"/>
        </w:rPr>
        <w:t>The ACT,</w:t>
      </w:r>
      <w:r>
        <w:rPr>
          <w:rStyle w:val="FootnoteReference"/>
          <w:lang w:eastAsia="en-AU"/>
        </w:rPr>
        <w:footnoteReference w:id="10"/>
      </w:r>
      <w:r>
        <w:rPr>
          <w:lang w:eastAsia="en-AU"/>
        </w:rPr>
        <w:t xml:space="preserve"> Northern Territory</w:t>
      </w:r>
      <w:r>
        <w:rPr>
          <w:rStyle w:val="FootnoteReference"/>
          <w:lang w:eastAsia="en-AU"/>
        </w:rPr>
        <w:footnoteReference w:id="11"/>
      </w:r>
      <w:r>
        <w:rPr>
          <w:lang w:eastAsia="en-AU"/>
        </w:rPr>
        <w:t xml:space="preserve"> and Tasmania</w:t>
      </w:r>
      <w:r>
        <w:rPr>
          <w:rStyle w:val="FootnoteReference"/>
          <w:lang w:eastAsia="en-AU"/>
        </w:rPr>
        <w:footnoteReference w:id="12"/>
      </w:r>
      <w:r>
        <w:rPr>
          <w:lang w:eastAsia="en-AU"/>
        </w:rPr>
        <w:t xml:space="preserve"> prohibit discrimination </w:t>
      </w:r>
      <w:proofErr w:type="gramStart"/>
      <w:r>
        <w:rPr>
          <w:lang w:eastAsia="en-AU"/>
        </w:rPr>
        <w:t>on the basis of</w:t>
      </w:r>
      <w:proofErr w:type="gramEnd"/>
      <w:r>
        <w:rPr>
          <w:lang w:eastAsia="en-AU"/>
        </w:rPr>
        <w:t xml:space="preserve"> an ‘irrelevant criminal record’. This category includes, but is not limited to spent conviction. </w:t>
      </w:r>
    </w:p>
    <w:p w14:paraId="271E3894" w14:textId="289E0D11" w:rsidR="00CB39EC" w:rsidRDefault="00CB39EC" w:rsidP="000A6954">
      <w:pPr>
        <w:pStyle w:val="BodyText"/>
        <w:keepNext/>
        <w:rPr>
          <w:lang w:eastAsia="en-AU"/>
        </w:rPr>
      </w:pPr>
      <w:r>
        <w:rPr>
          <w:lang w:eastAsia="en-AU"/>
        </w:rPr>
        <w:t>Western Australia has a spent convictions scheme.</w:t>
      </w:r>
      <w:r>
        <w:rPr>
          <w:rStyle w:val="FootnoteReference"/>
          <w:lang w:eastAsia="en-AU"/>
        </w:rPr>
        <w:footnoteReference w:id="13"/>
      </w:r>
      <w:r>
        <w:rPr>
          <w:lang w:eastAsia="en-AU"/>
        </w:rPr>
        <w:t xml:space="preserve"> A</w:t>
      </w:r>
      <w:r w:rsidR="00461078">
        <w:rPr>
          <w:lang w:eastAsia="en-AU"/>
        </w:rPr>
        <w:t xml:space="preserve">n important element of this scheme is that </w:t>
      </w:r>
      <w:r>
        <w:rPr>
          <w:lang w:eastAsia="en-AU"/>
        </w:rPr>
        <w:t xml:space="preserve">the Spent Convictions Act prohibits discrimination </w:t>
      </w:r>
      <w:proofErr w:type="gramStart"/>
      <w:r>
        <w:rPr>
          <w:lang w:eastAsia="en-AU"/>
        </w:rPr>
        <w:t>on the basis of</w:t>
      </w:r>
      <w:proofErr w:type="gramEnd"/>
      <w:r>
        <w:rPr>
          <w:lang w:eastAsia="en-AU"/>
        </w:rPr>
        <w:t xml:space="preserve"> a ‘spent conviction’. </w:t>
      </w:r>
    </w:p>
    <w:p w14:paraId="6C2AD8CA" w14:textId="25D96BCD" w:rsidR="00CB39EC" w:rsidRPr="00CB39EC" w:rsidRDefault="00482EA5">
      <w:pPr>
        <w:pStyle w:val="BodyText"/>
        <w:keepNext/>
        <w:rPr>
          <w:lang w:eastAsia="en-AU"/>
        </w:rPr>
      </w:pPr>
      <w:r>
        <w:rPr>
          <w:lang w:eastAsia="en-AU"/>
        </w:rPr>
        <w:t xml:space="preserve">Each of these schemes, across Australia, goes some way to recognising that </w:t>
      </w:r>
      <w:r w:rsidR="00AF5BB0">
        <w:rPr>
          <w:lang w:eastAsia="en-AU"/>
        </w:rPr>
        <w:t xml:space="preserve">it </w:t>
      </w:r>
      <w:r>
        <w:rPr>
          <w:lang w:eastAsia="en-AU"/>
        </w:rPr>
        <w:t>is appropriate to place limits on the use of criminal</w:t>
      </w:r>
      <w:r w:rsidR="00B64DDE">
        <w:rPr>
          <w:lang w:eastAsia="en-AU"/>
        </w:rPr>
        <w:t xml:space="preserve"> records</w:t>
      </w:r>
      <w:r>
        <w:rPr>
          <w:lang w:eastAsia="en-AU"/>
        </w:rPr>
        <w:t xml:space="preserve">. The schemes variously prohibit discrimination on the basis of a criminal record or spent </w:t>
      </w:r>
      <w:proofErr w:type="gramStart"/>
      <w:r>
        <w:rPr>
          <w:lang w:eastAsia="en-AU"/>
        </w:rPr>
        <w:t>conviction, and</w:t>
      </w:r>
      <w:proofErr w:type="gramEnd"/>
      <w:r>
        <w:rPr>
          <w:lang w:eastAsia="en-AU"/>
        </w:rPr>
        <w:t xml:space="preserve"> provide mechanisms for recourse if that conduct occurs. It is appropriate that Victoria also</w:t>
      </w:r>
      <w:r w:rsidR="002F1127">
        <w:rPr>
          <w:lang w:eastAsia="en-AU"/>
        </w:rPr>
        <w:t xml:space="preserve"> </w:t>
      </w:r>
      <w:r>
        <w:rPr>
          <w:lang w:eastAsia="en-AU"/>
        </w:rPr>
        <w:t xml:space="preserve">seeks to limit the use of criminal </w:t>
      </w:r>
      <w:r w:rsidR="00B64DDE">
        <w:rPr>
          <w:lang w:eastAsia="en-AU"/>
        </w:rPr>
        <w:t xml:space="preserve">records </w:t>
      </w:r>
      <w:r w:rsidR="00325276">
        <w:rPr>
          <w:lang w:eastAsia="en-AU"/>
        </w:rPr>
        <w:t xml:space="preserve">where it is relevant in the circumstances, </w:t>
      </w:r>
      <w:r>
        <w:rPr>
          <w:lang w:eastAsia="en-AU"/>
        </w:rPr>
        <w:t>and allows Victorians to seek redress</w:t>
      </w:r>
      <w:r w:rsidR="00325276">
        <w:rPr>
          <w:lang w:eastAsia="en-AU"/>
        </w:rPr>
        <w:t xml:space="preserve"> for unfair or inappropriate use of this information</w:t>
      </w:r>
      <w:r>
        <w:rPr>
          <w:lang w:eastAsia="en-AU"/>
        </w:rPr>
        <w:t>.</w:t>
      </w:r>
      <w:r w:rsidR="00CB39EC">
        <w:rPr>
          <w:lang w:eastAsia="en-AU"/>
        </w:rPr>
        <w:t xml:space="preserve">  </w:t>
      </w:r>
    </w:p>
    <w:p w14:paraId="73975383" w14:textId="2A44274D" w:rsidR="00190BB6" w:rsidRPr="00475C71" w:rsidRDefault="00190BB6">
      <w:pPr>
        <w:pStyle w:val="Heading2"/>
      </w:pPr>
      <w:bookmarkStart w:id="10" w:name="_Toc14102577"/>
      <w:bookmarkStart w:id="11" w:name="_Toc14108317"/>
      <w:bookmarkStart w:id="12" w:name="_Toc14102578"/>
      <w:bookmarkStart w:id="13" w:name="_Toc14108318"/>
      <w:bookmarkStart w:id="14" w:name="_Toc14102581"/>
      <w:bookmarkStart w:id="15" w:name="_Toc14108321"/>
      <w:bookmarkStart w:id="16" w:name="_Toc14102582"/>
      <w:bookmarkStart w:id="17" w:name="_Toc14108322"/>
      <w:bookmarkStart w:id="18" w:name="_Toc14102583"/>
      <w:bookmarkStart w:id="19" w:name="_Toc14108323"/>
      <w:bookmarkStart w:id="20" w:name="_Toc14102584"/>
      <w:bookmarkStart w:id="21" w:name="_Toc14108324"/>
      <w:bookmarkStart w:id="22" w:name="_Toc14102585"/>
      <w:bookmarkStart w:id="23" w:name="_Toc14108325"/>
      <w:bookmarkStart w:id="24" w:name="_Toc14102586"/>
      <w:bookmarkStart w:id="25" w:name="_Toc14108326"/>
      <w:bookmarkStart w:id="26" w:name="_Toc14102589"/>
      <w:bookmarkStart w:id="27" w:name="_Toc14108329"/>
      <w:bookmarkStart w:id="28" w:name="_Toc14102590"/>
      <w:bookmarkStart w:id="29" w:name="_Toc14108330"/>
      <w:bookmarkStart w:id="30" w:name="_Toc14181862"/>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r>
        <w:t xml:space="preserve">Experiences </w:t>
      </w:r>
      <w:r w:rsidR="00A21026">
        <w:t xml:space="preserve">of </w:t>
      </w:r>
      <w:r w:rsidR="00DD6EFA">
        <w:t>unfair treatment</w:t>
      </w:r>
      <w:r w:rsidR="00A21026">
        <w:t xml:space="preserve"> </w:t>
      </w:r>
      <w:r>
        <w:t>in Victoria</w:t>
      </w:r>
      <w:bookmarkEnd w:id="30"/>
    </w:p>
    <w:p w14:paraId="38BBE484" w14:textId="75DBF7B7" w:rsidR="004E7F3F" w:rsidRDefault="004E7F3F" w:rsidP="004A6954">
      <w:pPr>
        <w:pStyle w:val="VEOHRCBodytext"/>
        <w:jc w:val="both"/>
        <w:rPr>
          <w:rFonts w:cs="Arial"/>
        </w:rPr>
      </w:pPr>
      <w:r>
        <w:rPr>
          <w:rFonts w:cs="Arial"/>
        </w:rPr>
        <w:t>The Commission supports the significant research conducted by community organisations to document the impact of a lack of spent convictions scheme, and the impact that discrimination on the basis of criminal record has on members of the Victorian community.</w:t>
      </w:r>
      <w:r>
        <w:rPr>
          <w:rStyle w:val="FootnoteReference"/>
          <w:rFonts w:cs="Arial"/>
        </w:rPr>
        <w:footnoteReference w:id="14"/>
      </w:r>
    </w:p>
    <w:p w14:paraId="1AC4C224" w14:textId="29333100" w:rsidR="004E7F3F" w:rsidRDefault="004E7F3F" w:rsidP="004A6954">
      <w:pPr>
        <w:pStyle w:val="VEOHRCBodytext"/>
        <w:jc w:val="both"/>
        <w:rPr>
          <w:rFonts w:cs="Arial"/>
        </w:rPr>
      </w:pPr>
      <w:r>
        <w:rPr>
          <w:rFonts w:cs="Arial"/>
        </w:rPr>
        <w:t xml:space="preserve">As set out above, there is no protection in the EO </w:t>
      </w:r>
      <w:r w:rsidR="007C2C18">
        <w:rPr>
          <w:rFonts w:cs="Arial"/>
        </w:rPr>
        <w:t xml:space="preserve">Act </w:t>
      </w:r>
      <w:r>
        <w:rPr>
          <w:rFonts w:cs="Arial"/>
        </w:rPr>
        <w:t>for discrimination on the basis of a criminal record, and the Commission cannot conciliate complaints on this basis.</w:t>
      </w:r>
    </w:p>
    <w:p w14:paraId="21BBE2DC" w14:textId="77777777" w:rsidR="00B30561" w:rsidRDefault="00B30561" w:rsidP="00753137">
      <w:pPr>
        <w:pStyle w:val="VEOHRCBodytext"/>
        <w:keepNext w:val="0"/>
        <w:jc w:val="both"/>
        <w:rPr>
          <w:rFonts w:cs="Arial"/>
        </w:rPr>
      </w:pPr>
      <w:r>
        <w:rPr>
          <w:rFonts w:cs="Arial"/>
        </w:rPr>
        <w:t xml:space="preserve">The Commission provides a telephone and web enquiry service, providing free information on discrimination, victimisation, sexual harassment, racial or religious vilification, equal opportunity and the Charter.  Through this mechanism, the </w:t>
      </w:r>
      <w:r w:rsidR="00190BB6">
        <w:rPr>
          <w:rFonts w:cs="Arial"/>
        </w:rPr>
        <w:t>Commission receive</w:t>
      </w:r>
      <w:r>
        <w:rPr>
          <w:rFonts w:cs="Arial"/>
        </w:rPr>
        <w:t>s</w:t>
      </w:r>
      <w:r w:rsidR="00190BB6">
        <w:rPr>
          <w:rFonts w:cs="Arial"/>
        </w:rPr>
        <w:t xml:space="preserve"> enquiries about possible criminal records discrimination. </w:t>
      </w:r>
    </w:p>
    <w:p w14:paraId="236FA4AE" w14:textId="0334F587" w:rsidR="00190BB6" w:rsidRDefault="00190BB6" w:rsidP="00753137">
      <w:pPr>
        <w:pStyle w:val="VEOHRCBodytext"/>
        <w:keepNext w:val="0"/>
        <w:jc w:val="both"/>
        <w:rPr>
          <w:rFonts w:cs="Arial"/>
        </w:rPr>
      </w:pPr>
      <w:r>
        <w:rPr>
          <w:rFonts w:cs="Arial"/>
        </w:rPr>
        <w:t>It estimates that:</w:t>
      </w:r>
    </w:p>
    <w:p w14:paraId="0D0D71C5" w14:textId="0F6550B4" w:rsidR="00190BB6" w:rsidRDefault="001C3249" w:rsidP="00753137">
      <w:pPr>
        <w:pStyle w:val="VEOHRCBodytext"/>
        <w:keepNext w:val="0"/>
        <w:numPr>
          <w:ilvl w:val="0"/>
          <w:numId w:val="22"/>
        </w:numPr>
        <w:jc w:val="both"/>
        <w:rPr>
          <w:rFonts w:cs="Arial"/>
        </w:rPr>
      </w:pPr>
      <w:r>
        <w:rPr>
          <w:rFonts w:cs="Arial"/>
        </w:rPr>
        <w:t>o</w:t>
      </w:r>
      <w:r w:rsidR="00190BB6">
        <w:rPr>
          <w:rFonts w:cs="Arial"/>
        </w:rPr>
        <w:t xml:space="preserve">ver the last 12 months, it received </w:t>
      </w:r>
      <w:r w:rsidR="000222CA">
        <w:rPr>
          <w:rFonts w:cs="Arial"/>
        </w:rPr>
        <w:t>49</w:t>
      </w:r>
      <w:r w:rsidR="00190BB6">
        <w:rPr>
          <w:rFonts w:cs="Arial"/>
        </w:rPr>
        <w:t xml:space="preserve"> enquiries about possible criminal records discrimination;</w:t>
      </w:r>
      <w:r w:rsidR="00190BB6" w:rsidRPr="00D12E96">
        <w:rPr>
          <w:rStyle w:val="FootnoteReference"/>
          <w:rFonts w:cs="Arial"/>
        </w:rPr>
        <w:footnoteReference w:id="15"/>
      </w:r>
    </w:p>
    <w:p w14:paraId="57D23BC7" w14:textId="1A52C4E8" w:rsidR="00190BB6" w:rsidRDefault="001C3249" w:rsidP="00753137">
      <w:pPr>
        <w:pStyle w:val="VEOHRCBodytext"/>
        <w:keepNext w:val="0"/>
        <w:numPr>
          <w:ilvl w:val="0"/>
          <w:numId w:val="22"/>
        </w:numPr>
        <w:jc w:val="both"/>
        <w:rPr>
          <w:rFonts w:cs="Arial"/>
        </w:rPr>
      </w:pPr>
      <w:r>
        <w:rPr>
          <w:rFonts w:cs="Arial"/>
        </w:rPr>
        <w:t>o</w:t>
      </w:r>
      <w:r w:rsidR="00190BB6">
        <w:rPr>
          <w:rFonts w:cs="Arial"/>
        </w:rPr>
        <w:t>ver the last five years, it received over 200 enquiries about possible criminal records discrimination.</w:t>
      </w:r>
      <w:r w:rsidR="00190BB6">
        <w:rPr>
          <w:rStyle w:val="FootnoteReference"/>
          <w:rFonts w:cs="Arial"/>
        </w:rPr>
        <w:footnoteReference w:id="16"/>
      </w:r>
      <w:r w:rsidR="00190BB6">
        <w:rPr>
          <w:rFonts w:cs="Arial"/>
        </w:rPr>
        <w:t xml:space="preserve"> </w:t>
      </w:r>
    </w:p>
    <w:p w14:paraId="5F689867" w14:textId="2D4BC3DF" w:rsidR="00BD7527" w:rsidRDefault="00BD7527" w:rsidP="00753137">
      <w:pPr>
        <w:rPr>
          <w:rFonts w:cs="Arial"/>
        </w:rPr>
      </w:pPr>
      <w:r>
        <w:rPr>
          <w:rFonts w:cs="Arial"/>
        </w:rPr>
        <w:lastRenderedPageBreak/>
        <w:t>The Commission currently refers enquiries about criminal records discrimination to the A</w:t>
      </w:r>
      <w:r w:rsidR="005B6F74">
        <w:rPr>
          <w:rFonts w:cs="Arial"/>
        </w:rPr>
        <w:t>HRC</w:t>
      </w:r>
      <w:r>
        <w:rPr>
          <w:rFonts w:cs="Arial"/>
        </w:rPr>
        <w:t xml:space="preserve">. </w:t>
      </w:r>
    </w:p>
    <w:p w14:paraId="22D48059" w14:textId="025AF517" w:rsidR="001C3249" w:rsidRDefault="00190BB6" w:rsidP="00753137">
      <w:pPr>
        <w:rPr>
          <w:rFonts w:cs="Arial"/>
        </w:rPr>
      </w:pPr>
      <w:r>
        <w:rPr>
          <w:rFonts w:cs="Arial"/>
        </w:rPr>
        <w:t xml:space="preserve">Analysis of these enquiries show that concerns </w:t>
      </w:r>
      <w:r w:rsidR="005B6F74">
        <w:rPr>
          <w:rFonts w:cs="Arial"/>
        </w:rPr>
        <w:t xml:space="preserve">also </w:t>
      </w:r>
      <w:r>
        <w:rPr>
          <w:rFonts w:cs="Arial"/>
        </w:rPr>
        <w:t xml:space="preserve">relate to the </w:t>
      </w:r>
      <w:r w:rsidR="001C3249">
        <w:rPr>
          <w:rFonts w:cs="Arial"/>
        </w:rPr>
        <w:t>disclosure of information, and to the subsequent use of that information, as discussed below.</w:t>
      </w:r>
    </w:p>
    <w:p w14:paraId="498B0D08" w14:textId="56194253" w:rsidR="00336E76" w:rsidRDefault="00BD7527" w:rsidP="004A6954">
      <w:pPr>
        <w:pStyle w:val="Heading3"/>
      </w:pPr>
      <w:r>
        <w:t>Unfair treatment: employment</w:t>
      </w:r>
    </w:p>
    <w:p w14:paraId="46735DEB" w14:textId="6AB36A0D" w:rsidR="00BD7527" w:rsidRDefault="00BD7527" w:rsidP="004A6954">
      <w:pPr>
        <w:pStyle w:val="VEOHRCBodytext"/>
        <w:jc w:val="both"/>
        <w:rPr>
          <w:rFonts w:cs="Arial"/>
        </w:rPr>
      </w:pPr>
      <w:r>
        <w:rPr>
          <w:rFonts w:cs="Arial"/>
        </w:rPr>
        <w:t xml:space="preserve">Over 75% </w:t>
      </w:r>
      <w:r w:rsidRPr="00580B3B">
        <w:rPr>
          <w:rFonts w:cs="Arial"/>
        </w:rPr>
        <w:t xml:space="preserve">of the </w:t>
      </w:r>
      <w:r w:rsidR="00B30561">
        <w:rPr>
          <w:rFonts w:cs="Arial"/>
        </w:rPr>
        <w:t xml:space="preserve">criminal records </w:t>
      </w:r>
      <w:r w:rsidRPr="00580B3B">
        <w:rPr>
          <w:rFonts w:cs="Arial"/>
        </w:rPr>
        <w:t>enquiries</w:t>
      </w:r>
      <w:r>
        <w:rPr>
          <w:rFonts w:cs="Arial"/>
        </w:rPr>
        <w:t xml:space="preserve"> received by the Commission in the last five years</w:t>
      </w:r>
      <w:r w:rsidRPr="00580B3B">
        <w:rPr>
          <w:rFonts w:cs="Arial"/>
        </w:rPr>
        <w:t xml:space="preserve"> relate to</w:t>
      </w:r>
      <w:r w:rsidR="00AF0826">
        <w:rPr>
          <w:rFonts w:cs="Arial"/>
        </w:rPr>
        <w:t xml:space="preserve"> that person experiencing employment </w:t>
      </w:r>
      <w:r w:rsidRPr="00580B3B">
        <w:rPr>
          <w:rFonts w:cs="Arial"/>
        </w:rPr>
        <w:t>restrictions,</w:t>
      </w:r>
      <w:r>
        <w:rPr>
          <w:rFonts w:cs="Arial"/>
        </w:rPr>
        <w:t xml:space="preserve"> most at the time </w:t>
      </w:r>
      <w:r w:rsidR="00AF0826">
        <w:rPr>
          <w:rFonts w:cs="Arial"/>
        </w:rPr>
        <w:t>when</w:t>
      </w:r>
      <w:r>
        <w:rPr>
          <w:rFonts w:cs="Arial"/>
        </w:rPr>
        <w:t xml:space="preserve"> </w:t>
      </w:r>
      <w:r w:rsidR="00AF0826">
        <w:rPr>
          <w:rFonts w:cs="Arial"/>
        </w:rPr>
        <w:t>the</w:t>
      </w:r>
      <w:r>
        <w:rPr>
          <w:rFonts w:cs="Arial"/>
        </w:rPr>
        <w:t xml:space="preserve"> person </w:t>
      </w:r>
      <w:r w:rsidR="00AF0826">
        <w:rPr>
          <w:rFonts w:cs="Arial"/>
        </w:rPr>
        <w:t xml:space="preserve">is </w:t>
      </w:r>
      <w:r>
        <w:rPr>
          <w:rFonts w:cs="Arial"/>
        </w:rPr>
        <w:t xml:space="preserve">seeking a new job. </w:t>
      </w:r>
    </w:p>
    <w:p w14:paraId="7BEA267F" w14:textId="77777777" w:rsidR="00B30561" w:rsidRDefault="00BD7527" w:rsidP="004A6954">
      <w:pPr>
        <w:pStyle w:val="VEOHRCBodytext"/>
        <w:jc w:val="both"/>
        <w:rPr>
          <w:rFonts w:cs="Arial"/>
        </w:rPr>
      </w:pPr>
      <w:r>
        <w:rPr>
          <w:rFonts w:cs="Arial"/>
        </w:rPr>
        <w:t>Unfavourable treatment because of a person’s criminal record ma</w:t>
      </w:r>
      <w:r w:rsidRPr="004A485B">
        <w:rPr>
          <w:rFonts w:cs="Arial"/>
        </w:rPr>
        <w:t>y</w:t>
      </w:r>
      <w:r w:rsidRPr="00615713">
        <w:rPr>
          <w:rFonts w:cs="Arial"/>
        </w:rPr>
        <w:t xml:space="preserve"> </w:t>
      </w:r>
      <w:r>
        <w:rPr>
          <w:rFonts w:cs="Arial"/>
        </w:rPr>
        <w:t>i</w:t>
      </w:r>
      <w:r w:rsidRPr="00615713">
        <w:rPr>
          <w:rFonts w:cs="Arial"/>
        </w:rPr>
        <w:t>nclude</w:t>
      </w:r>
      <w:r>
        <w:rPr>
          <w:rFonts w:cs="Arial"/>
        </w:rPr>
        <w:t xml:space="preserve"> </w:t>
      </w:r>
      <w:r w:rsidRPr="00615713">
        <w:rPr>
          <w:rFonts w:cs="Arial"/>
        </w:rPr>
        <w:t>being refused a job, being dismissed from employment, being denied opportunities or being harassed at work</w:t>
      </w:r>
      <w:r>
        <w:rPr>
          <w:rFonts w:cs="Arial"/>
        </w:rPr>
        <w:t xml:space="preserve"> because of the criminal record</w:t>
      </w:r>
      <w:r w:rsidRPr="00615713">
        <w:rPr>
          <w:rFonts w:cs="Arial"/>
        </w:rPr>
        <w:t>.</w:t>
      </w:r>
      <w:r>
        <w:rPr>
          <w:rFonts w:cs="Arial"/>
        </w:rPr>
        <w:t xml:space="preserve"> </w:t>
      </w:r>
    </w:p>
    <w:p w14:paraId="42782A6E" w14:textId="573F85AD" w:rsidR="009E5D7D" w:rsidRDefault="00A21026" w:rsidP="000A6954">
      <w:pPr>
        <w:pStyle w:val="VEOHRCBodytext"/>
        <w:jc w:val="both"/>
        <w:rPr>
          <w:rFonts w:cs="Arial"/>
        </w:rPr>
      </w:pPr>
      <w:r>
        <w:rPr>
          <w:rFonts w:cs="Arial"/>
        </w:rPr>
        <w:t>The examples below demonstrate the breadth of experience for different Victorians with a criminal record either seeking or during employment</w:t>
      </w:r>
      <w:r w:rsidR="00F42EFD">
        <w:rPr>
          <w:rFonts w:cs="Arial"/>
        </w:rPr>
        <w:t xml:space="preserve">. </w:t>
      </w:r>
    </w:p>
    <w:tbl>
      <w:tblPr>
        <w:tblStyle w:val="CustomTableblue1"/>
        <w:tblW w:w="9067" w:type="dxa"/>
        <w:tblLook w:val="0420" w:firstRow="1" w:lastRow="0" w:firstColumn="0" w:lastColumn="0" w:noHBand="0" w:noVBand="1"/>
      </w:tblPr>
      <w:tblGrid>
        <w:gridCol w:w="9067"/>
      </w:tblGrid>
      <w:tr w:rsidR="009E5D7D" w:rsidRPr="009E5D7D" w14:paraId="132F3A0E" w14:textId="77777777" w:rsidTr="009E5D7D">
        <w:trPr>
          <w:cnfStyle w:val="100000000000" w:firstRow="1" w:lastRow="0" w:firstColumn="0" w:lastColumn="0" w:oddVBand="0" w:evenVBand="0" w:oddHBand="0" w:evenHBand="0" w:firstRowFirstColumn="0" w:firstRowLastColumn="0" w:lastRowFirstColumn="0" w:lastRowLastColumn="0"/>
        </w:trPr>
        <w:tc>
          <w:tcPr>
            <w:tcW w:w="9067" w:type="dxa"/>
          </w:tcPr>
          <w:p w14:paraId="4B590680" w14:textId="051ED60A" w:rsidR="00F42EFD" w:rsidRPr="009E5D7D" w:rsidRDefault="009E5D7D">
            <w:pPr>
              <w:pStyle w:val="BodyText"/>
              <w:keepNext/>
            </w:pPr>
            <w:r w:rsidRPr="00F42EFD">
              <w:rPr>
                <w:rStyle w:val="Characterbold"/>
                <w:b/>
              </w:rPr>
              <w:t>Criminal records and employment</w:t>
            </w:r>
          </w:p>
        </w:tc>
      </w:tr>
      <w:tr w:rsidR="009E5D7D" w:rsidRPr="009E5D7D" w14:paraId="1543A084" w14:textId="77777777" w:rsidTr="009E5D7D">
        <w:trPr>
          <w:cnfStyle w:val="000000100000" w:firstRow="0" w:lastRow="0" w:firstColumn="0" w:lastColumn="0" w:oddVBand="0" w:evenVBand="0" w:oddHBand="1" w:evenHBand="0" w:firstRowFirstColumn="0" w:firstRowLastColumn="0" w:lastRowFirstColumn="0" w:lastRowLastColumn="0"/>
        </w:trPr>
        <w:tc>
          <w:tcPr>
            <w:tcW w:w="9067" w:type="dxa"/>
          </w:tcPr>
          <w:p w14:paraId="15D2F6D7" w14:textId="72CCF9B9" w:rsidR="009E5D7D" w:rsidRPr="009E5D7D" w:rsidRDefault="009E5D7D" w:rsidP="000A6954">
            <w:pPr>
              <w:keepNext/>
              <w:spacing w:before="120" w:line="260" w:lineRule="atLeast"/>
              <w:rPr>
                <w:rFonts w:eastAsia="Times New Roman" w:cs="Times New Roman"/>
                <w:bCs/>
                <w:sz w:val="21"/>
                <w:szCs w:val="21"/>
                <w:lang w:eastAsia="en-GB"/>
              </w:rPr>
            </w:pPr>
            <w:r w:rsidRPr="00DF7A6F">
              <w:rPr>
                <w:rFonts w:eastAsia="Times New Roman" w:cs="Times New Roman"/>
                <w:bCs/>
                <w:sz w:val="21"/>
                <w:szCs w:val="21"/>
                <w:lang w:eastAsia="en-GB"/>
              </w:rPr>
              <w:t>Alice* has been struggling to find employment due to her criminal history. Wherever she applies, she gets through the interview stage, succeeds and gets to the stage of signing employment contract. When she gets asked for police clearance, she does not get the job.</w:t>
            </w:r>
          </w:p>
        </w:tc>
      </w:tr>
      <w:tr w:rsidR="009E5D7D" w:rsidRPr="009E5D7D" w14:paraId="0EC1BA4F" w14:textId="77777777" w:rsidTr="009E5D7D">
        <w:trPr>
          <w:cnfStyle w:val="000000010000" w:firstRow="0" w:lastRow="0" w:firstColumn="0" w:lastColumn="0" w:oddVBand="0" w:evenVBand="0" w:oddHBand="0" w:evenHBand="1" w:firstRowFirstColumn="0" w:firstRowLastColumn="0" w:lastRowFirstColumn="0" w:lastRowLastColumn="0"/>
        </w:trPr>
        <w:tc>
          <w:tcPr>
            <w:tcW w:w="9067" w:type="dxa"/>
          </w:tcPr>
          <w:p w14:paraId="21ACD9EE" w14:textId="657931B8" w:rsidR="009E5D7D" w:rsidRPr="00DF7A6F" w:rsidRDefault="009E5D7D" w:rsidP="000A6954">
            <w:pPr>
              <w:keepNext/>
              <w:spacing w:before="120" w:line="260" w:lineRule="atLeast"/>
              <w:rPr>
                <w:rFonts w:eastAsia="Times New Roman" w:cs="Times New Roman"/>
                <w:bCs/>
                <w:sz w:val="21"/>
                <w:szCs w:val="21"/>
                <w:lang w:eastAsia="en-GB"/>
              </w:rPr>
            </w:pPr>
            <w:r w:rsidRPr="00DF7A6F">
              <w:rPr>
                <w:rFonts w:eastAsia="Times New Roman" w:cs="Times New Roman"/>
                <w:bCs/>
                <w:sz w:val="21"/>
                <w:szCs w:val="21"/>
                <w:lang w:eastAsia="en-GB"/>
              </w:rPr>
              <w:t xml:space="preserve">Luka* was charged with offences 8 years ago. He has changed his life and just finished a Certificate 3 in Aged Care. Luka currently receives a Disability Support Pension. </w:t>
            </w:r>
          </w:p>
          <w:p w14:paraId="469885D1" w14:textId="1C8940B6" w:rsidR="009E5D7D" w:rsidRPr="009E5D7D" w:rsidRDefault="009E5D7D">
            <w:pPr>
              <w:keepNext/>
              <w:spacing w:before="120" w:line="260" w:lineRule="atLeast"/>
              <w:rPr>
                <w:rFonts w:eastAsia="Times New Roman" w:cs="Times New Roman"/>
                <w:bCs/>
                <w:sz w:val="21"/>
                <w:szCs w:val="21"/>
                <w:lang w:eastAsia="en-GB"/>
              </w:rPr>
            </w:pPr>
            <w:r w:rsidRPr="00DF7A6F">
              <w:rPr>
                <w:rFonts w:eastAsia="Times New Roman" w:cs="Times New Roman"/>
                <w:bCs/>
                <w:sz w:val="21"/>
                <w:szCs w:val="21"/>
                <w:lang w:eastAsia="en-GB"/>
              </w:rPr>
              <w:t>Luka applied for cleaner job – he wants to work and has been told cannot get a job at school as a cleaner, because of the old offences.</w:t>
            </w:r>
          </w:p>
        </w:tc>
      </w:tr>
      <w:tr w:rsidR="009E5D7D" w:rsidRPr="009E5D7D" w14:paraId="0C27B382" w14:textId="77777777" w:rsidTr="009E5D7D">
        <w:trPr>
          <w:cnfStyle w:val="000000100000" w:firstRow="0" w:lastRow="0" w:firstColumn="0" w:lastColumn="0" w:oddVBand="0" w:evenVBand="0" w:oddHBand="1" w:evenHBand="0" w:firstRowFirstColumn="0" w:firstRowLastColumn="0" w:lastRowFirstColumn="0" w:lastRowLastColumn="0"/>
        </w:trPr>
        <w:tc>
          <w:tcPr>
            <w:tcW w:w="9067" w:type="dxa"/>
          </w:tcPr>
          <w:p w14:paraId="7F0496CA" w14:textId="0CEE63FD" w:rsidR="009E5D7D" w:rsidRPr="00DF7A6F" w:rsidRDefault="009E5D7D" w:rsidP="000A6954">
            <w:pPr>
              <w:keepNext/>
              <w:spacing w:before="120" w:line="260" w:lineRule="atLeast"/>
              <w:rPr>
                <w:rFonts w:eastAsia="Times New Roman" w:cs="Times New Roman"/>
                <w:bCs/>
                <w:sz w:val="21"/>
                <w:szCs w:val="21"/>
                <w:lang w:eastAsia="en-GB"/>
              </w:rPr>
            </w:pPr>
            <w:r w:rsidRPr="00DF7A6F">
              <w:rPr>
                <w:rFonts w:eastAsia="Times New Roman" w:cs="Times New Roman"/>
                <w:bCs/>
                <w:sz w:val="21"/>
                <w:szCs w:val="21"/>
                <w:lang w:eastAsia="en-GB"/>
              </w:rPr>
              <w:t xml:space="preserve">Elena’s* daughter has a criminal record for dangerous driving and possessing a weapon. These offences occurred 6 years ago. Since the incident six years ago, her daughter </w:t>
            </w:r>
            <w:r w:rsidR="00391B9D">
              <w:rPr>
                <w:rFonts w:eastAsia="Times New Roman" w:cs="Times New Roman"/>
                <w:bCs/>
                <w:sz w:val="21"/>
                <w:szCs w:val="21"/>
                <w:lang w:eastAsia="en-GB"/>
              </w:rPr>
              <w:t xml:space="preserve">has </w:t>
            </w:r>
            <w:r w:rsidRPr="00DF7A6F">
              <w:rPr>
                <w:rFonts w:eastAsia="Times New Roman" w:cs="Times New Roman"/>
                <w:bCs/>
                <w:sz w:val="21"/>
                <w:szCs w:val="21"/>
                <w:lang w:eastAsia="en-GB"/>
              </w:rPr>
              <w:t xml:space="preserve">not had any further trouble with the law. </w:t>
            </w:r>
          </w:p>
          <w:p w14:paraId="78994B05" w14:textId="6E19CA54" w:rsidR="009E5D7D" w:rsidRPr="00DF7A6F" w:rsidRDefault="009E5D7D">
            <w:pPr>
              <w:keepNext/>
              <w:spacing w:before="120" w:line="260" w:lineRule="atLeast"/>
              <w:rPr>
                <w:bCs/>
                <w:sz w:val="21"/>
                <w:szCs w:val="21"/>
              </w:rPr>
            </w:pPr>
            <w:r w:rsidRPr="00DF7A6F">
              <w:rPr>
                <w:rFonts w:eastAsia="Times New Roman" w:cs="Times New Roman"/>
                <w:bCs/>
                <w:sz w:val="21"/>
                <w:szCs w:val="21"/>
                <w:lang w:eastAsia="en-GB"/>
              </w:rPr>
              <w:t xml:space="preserve">Recently, on two occasions, Elena’s daughter was the successful applicant for a job. However, both </w:t>
            </w:r>
            <w:proofErr w:type="gramStart"/>
            <w:r w:rsidRPr="00DF7A6F">
              <w:rPr>
                <w:rFonts w:eastAsia="Times New Roman" w:cs="Times New Roman"/>
                <w:bCs/>
                <w:sz w:val="21"/>
                <w:szCs w:val="21"/>
                <w:lang w:eastAsia="en-GB"/>
              </w:rPr>
              <w:t>job</w:t>
            </w:r>
            <w:proofErr w:type="gramEnd"/>
            <w:r w:rsidRPr="00DF7A6F">
              <w:rPr>
                <w:rFonts w:eastAsia="Times New Roman" w:cs="Times New Roman"/>
                <w:bCs/>
                <w:sz w:val="21"/>
                <w:szCs w:val="21"/>
                <w:lang w:eastAsia="en-GB"/>
              </w:rPr>
              <w:t xml:space="preserve"> offers were rescinded after the employer conducted a criminal history check.</w:t>
            </w:r>
          </w:p>
        </w:tc>
      </w:tr>
      <w:tr w:rsidR="009E5D7D" w:rsidRPr="009E5D7D" w14:paraId="35051753" w14:textId="77777777" w:rsidTr="009E5D7D">
        <w:trPr>
          <w:cnfStyle w:val="000000010000" w:firstRow="0" w:lastRow="0" w:firstColumn="0" w:lastColumn="0" w:oddVBand="0" w:evenVBand="0" w:oddHBand="0" w:evenHBand="1" w:firstRowFirstColumn="0" w:firstRowLastColumn="0" w:lastRowFirstColumn="0" w:lastRowLastColumn="0"/>
        </w:trPr>
        <w:tc>
          <w:tcPr>
            <w:tcW w:w="9067" w:type="dxa"/>
          </w:tcPr>
          <w:p w14:paraId="7A9B5B28" w14:textId="762DA336" w:rsidR="009E5D7D" w:rsidRPr="00DF7A6F" w:rsidRDefault="009E5D7D" w:rsidP="000A6954">
            <w:pPr>
              <w:keepNext/>
              <w:spacing w:before="120" w:line="260" w:lineRule="atLeast"/>
              <w:rPr>
                <w:rFonts w:eastAsia="Times New Roman" w:cs="Times New Roman"/>
                <w:bCs/>
                <w:sz w:val="21"/>
                <w:szCs w:val="21"/>
                <w:lang w:eastAsia="en-GB"/>
              </w:rPr>
            </w:pPr>
            <w:r w:rsidRPr="00DF7A6F">
              <w:rPr>
                <w:rFonts w:eastAsia="Times New Roman" w:cs="Times New Roman"/>
                <w:bCs/>
                <w:sz w:val="21"/>
                <w:szCs w:val="21"/>
                <w:lang w:eastAsia="en-GB"/>
              </w:rPr>
              <w:t>Mari* has a criminal record. She applied for a job and had all the necessary documents. The company informed Mari that it does not employ anyone with a criminal record.</w:t>
            </w:r>
          </w:p>
        </w:tc>
      </w:tr>
      <w:tr w:rsidR="009E5D7D" w:rsidRPr="009E5D7D" w14:paraId="55D77FE6" w14:textId="77777777" w:rsidTr="009E5D7D">
        <w:trPr>
          <w:cnfStyle w:val="000000100000" w:firstRow="0" w:lastRow="0" w:firstColumn="0" w:lastColumn="0" w:oddVBand="0" w:evenVBand="0" w:oddHBand="1" w:evenHBand="0" w:firstRowFirstColumn="0" w:firstRowLastColumn="0" w:lastRowFirstColumn="0" w:lastRowLastColumn="0"/>
        </w:trPr>
        <w:tc>
          <w:tcPr>
            <w:tcW w:w="9067" w:type="dxa"/>
          </w:tcPr>
          <w:p w14:paraId="18D24616" w14:textId="090516C3" w:rsidR="009E5D7D" w:rsidRPr="00DF7A6F" w:rsidRDefault="009E5D7D" w:rsidP="000A6954">
            <w:pPr>
              <w:keepNext/>
              <w:spacing w:before="120" w:line="260" w:lineRule="atLeast"/>
              <w:rPr>
                <w:rFonts w:eastAsia="Times New Roman" w:cs="Times New Roman"/>
                <w:bCs/>
                <w:sz w:val="21"/>
                <w:szCs w:val="21"/>
                <w:lang w:eastAsia="en-GB"/>
              </w:rPr>
            </w:pPr>
            <w:r w:rsidRPr="00DF7A6F">
              <w:rPr>
                <w:rFonts w:eastAsia="Times New Roman" w:cs="Times New Roman"/>
                <w:bCs/>
                <w:sz w:val="21"/>
                <w:szCs w:val="21"/>
                <w:lang w:eastAsia="en-GB"/>
              </w:rPr>
              <w:t>Harriet* called to inquire about her father. He has been denied a job due to a criminal record, which arose 50 years ago when he was still a teenager.</w:t>
            </w:r>
          </w:p>
        </w:tc>
      </w:tr>
    </w:tbl>
    <w:p w14:paraId="7DC9B808" w14:textId="69DAF83F" w:rsidR="009E5D7D" w:rsidRPr="004A6954" w:rsidRDefault="007B2DBB" w:rsidP="000A6954">
      <w:pPr>
        <w:pStyle w:val="VEOHRCBodytext"/>
        <w:jc w:val="both"/>
        <w:rPr>
          <w:rFonts w:cs="Arial"/>
          <w:sz w:val="21"/>
          <w:szCs w:val="21"/>
        </w:rPr>
      </w:pPr>
      <w:r w:rsidRPr="00FE7AE2">
        <w:rPr>
          <w:rFonts w:cs="Arial"/>
          <w:sz w:val="21"/>
          <w:szCs w:val="21"/>
        </w:rPr>
        <w:t>* = not their real name.</w:t>
      </w:r>
    </w:p>
    <w:p w14:paraId="11199B92" w14:textId="77777777" w:rsidR="00DF7A6F" w:rsidRDefault="00DF7A6F" w:rsidP="00753137">
      <w:pPr>
        <w:pStyle w:val="Heading3"/>
        <w:keepNext w:val="0"/>
        <w:keepLines/>
      </w:pPr>
      <w:r>
        <w:t>Unfair treatment: other areas</w:t>
      </w:r>
    </w:p>
    <w:p w14:paraId="0BC0C364" w14:textId="7FF86197" w:rsidR="00070475" w:rsidRDefault="00DF7A6F" w:rsidP="00753137">
      <w:pPr>
        <w:pStyle w:val="VEOHRCBodytext"/>
        <w:keepNext w:val="0"/>
        <w:keepLines/>
        <w:jc w:val="both"/>
        <w:rPr>
          <w:rFonts w:cs="Arial"/>
        </w:rPr>
      </w:pPr>
      <w:r>
        <w:rPr>
          <w:rFonts w:cs="Arial"/>
        </w:rPr>
        <w:t>O</w:t>
      </w:r>
      <w:r w:rsidRPr="00580B3B">
        <w:rPr>
          <w:rFonts w:cs="Arial"/>
        </w:rPr>
        <w:t>ther</w:t>
      </w:r>
      <w:r>
        <w:rPr>
          <w:rFonts w:cs="Arial"/>
        </w:rPr>
        <w:t xml:space="preserve"> enquiries</w:t>
      </w:r>
      <w:r w:rsidRPr="00580B3B">
        <w:rPr>
          <w:rFonts w:cs="Arial"/>
        </w:rPr>
        <w:t xml:space="preserve"> </w:t>
      </w:r>
      <w:r>
        <w:rPr>
          <w:rFonts w:cs="Arial"/>
        </w:rPr>
        <w:t xml:space="preserve">made to the Commission regarding a criminal record </w:t>
      </w:r>
      <w:r w:rsidRPr="00580B3B">
        <w:rPr>
          <w:rFonts w:cs="Arial"/>
        </w:rPr>
        <w:t>relate to a person being refused a service or excluded from education or another area of public life</w:t>
      </w:r>
      <w:r>
        <w:rPr>
          <w:rFonts w:cs="Arial"/>
        </w:rPr>
        <w:t>, such</w:t>
      </w:r>
      <w:r w:rsidR="00B64DDE">
        <w:rPr>
          <w:rFonts w:cs="Arial"/>
        </w:rPr>
        <w:t xml:space="preserve"> </w:t>
      </w:r>
      <w:r>
        <w:rPr>
          <w:rFonts w:cs="Arial"/>
        </w:rPr>
        <w:t>as enquiries about banking services being denied, residential tenancies being refused and access to premises being limited.</w:t>
      </w:r>
    </w:p>
    <w:p w14:paraId="4B2593AA" w14:textId="79179C29" w:rsidR="00347208" w:rsidRDefault="00DF7A6F" w:rsidP="004A6954">
      <w:pPr>
        <w:pStyle w:val="VEOHRCBodytext"/>
        <w:keepLines/>
        <w:jc w:val="both"/>
        <w:rPr>
          <w:rFonts w:cs="Arial"/>
        </w:rPr>
      </w:pPr>
      <w:r>
        <w:rPr>
          <w:rFonts w:cs="Arial"/>
        </w:rPr>
        <w:lastRenderedPageBreak/>
        <w:t xml:space="preserve">Each of these </w:t>
      </w:r>
      <w:r w:rsidR="00070475">
        <w:rPr>
          <w:rFonts w:cs="Arial"/>
        </w:rPr>
        <w:t xml:space="preserve">examples occurred in </w:t>
      </w:r>
      <w:r>
        <w:rPr>
          <w:rFonts w:cs="Arial"/>
        </w:rPr>
        <w:t>areas of public life where discrimination is unlawful.</w:t>
      </w:r>
      <w:r>
        <w:rPr>
          <w:rStyle w:val="FootnoteReference"/>
          <w:rFonts w:cs="Arial"/>
        </w:rPr>
        <w:footnoteReference w:id="17"/>
      </w:r>
      <w:r>
        <w:rPr>
          <w:rFonts w:cs="Arial"/>
        </w:rPr>
        <w:t xml:space="preserve"> </w:t>
      </w:r>
    </w:p>
    <w:tbl>
      <w:tblPr>
        <w:tblStyle w:val="CustomTableblue1"/>
        <w:tblW w:w="9067" w:type="dxa"/>
        <w:tblLook w:val="0420" w:firstRow="1" w:lastRow="0" w:firstColumn="0" w:lastColumn="0" w:noHBand="0" w:noVBand="1"/>
      </w:tblPr>
      <w:tblGrid>
        <w:gridCol w:w="9067"/>
      </w:tblGrid>
      <w:tr w:rsidR="00DF7A6F" w:rsidRPr="009E5D7D" w14:paraId="4FB278B1" w14:textId="77777777" w:rsidTr="00652CFA">
        <w:trPr>
          <w:cnfStyle w:val="100000000000" w:firstRow="1" w:lastRow="0" w:firstColumn="0" w:lastColumn="0" w:oddVBand="0" w:evenVBand="0" w:oddHBand="0" w:evenHBand="0" w:firstRowFirstColumn="0" w:firstRowLastColumn="0" w:lastRowFirstColumn="0" w:lastRowLastColumn="0"/>
        </w:trPr>
        <w:tc>
          <w:tcPr>
            <w:tcW w:w="9067" w:type="dxa"/>
          </w:tcPr>
          <w:p w14:paraId="0656EC43" w14:textId="169F3A18" w:rsidR="00DF7A6F" w:rsidRPr="009E5D7D" w:rsidRDefault="00DF7A6F" w:rsidP="004A6954">
            <w:pPr>
              <w:pStyle w:val="BodyText"/>
              <w:keepNext/>
              <w:keepLines/>
            </w:pPr>
            <w:r w:rsidRPr="00F42EFD">
              <w:rPr>
                <w:rStyle w:val="Characterbold"/>
                <w:b/>
              </w:rPr>
              <w:t xml:space="preserve">Criminal records and </w:t>
            </w:r>
            <w:r>
              <w:rPr>
                <w:rStyle w:val="Characterbold"/>
                <w:b/>
              </w:rPr>
              <w:t>accommodation and services</w:t>
            </w:r>
          </w:p>
        </w:tc>
      </w:tr>
      <w:tr w:rsidR="00DF7A6F" w:rsidRPr="009E5D7D" w14:paraId="2EB44A9D" w14:textId="77777777" w:rsidTr="00652CFA">
        <w:trPr>
          <w:cnfStyle w:val="000000100000" w:firstRow="0" w:lastRow="0" w:firstColumn="0" w:lastColumn="0" w:oddVBand="0" w:evenVBand="0" w:oddHBand="1" w:evenHBand="0" w:firstRowFirstColumn="0" w:firstRowLastColumn="0" w:lastRowFirstColumn="0" w:lastRowLastColumn="0"/>
        </w:trPr>
        <w:tc>
          <w:tcPr>
            <w:tcW w:w="9067" w:type="dxa"/>
          </w:tcPr>
          <w:p w14:paraId="0CCCFA8A" w14:textId="3C57083B" w:rsidR="00DF7A6F" w:rsidRPr="009E5D7D" w:rsidRDefault="00DF7A6F" w:rsidP="004A6954">
            <w:pPr>
              <w:keepNext/>
              <w:keepLines/>
              <w:spacing w:before="120" w:line="260" w:lineRule="atLeast"/>
              <w:rPr>
                <w:rFonts w:eastAsia="Times New Roman" w:cs="Times New Roman"/>
                <w:bCs/>
                <w:sz w:val="21"/>
                <w:szCs w:val="21"/>
                <w:lang w:eastAsia="en-GB"/>
              </w:rPr>
            </w:pPr>
            <w:proofErr w:type="spellStart"/>
            <w:r w:rsidRPr="00DF7A6F">
              <w:rPr>
                <w:rFonts w:eastAsia="Times New Roman" w:cs="Times New Roman"/>
                <w:bCs/>
                <w:sz w:val="21"/>
                <w:szCs w:val="21"/>
                <w:lang w:eastAsia="en-GB"/>
              </w:rPr>
              <w:t>Apoor</w:t>
            </w:r>
            <w:proofErr w:type="spellEnd"/>
            <w:r w:rsidRPr="00DF7A6F">
              <w:rPr>
                <w:rFonts w:eastAsia="Times New Roman" w:cs="Times New Roman"/>
                <w:bCs/>
                <w:sz w:val="21"/>
                <w:szCs w:val="21"/>
                <w:lang w:eastAsia="en-GB"/>
              </w:rPr>
              <w:t xml:space="preserve">* rang an insurance company to insure a motorbike. </w:t>
            </w:r>
            <w:proofErr w:type="spellStart"/>
            <w:r w:rsidRPr="00DF7A6F">
              <w:rPr>
                <w:rFonts w:eastAsia="Times New Roman" w:cs="Times New Roman"/>
                <w:bCs/>
                <w:sz w:val="21"/>
                <w:szCs w:val="21"/>
                <w:lang w:eastAsia="en-GB"/>
              </w:rPr>
              <w:t>Apoor</w:t>
            </w:r>
            <w:proofErr w:type="spellEnd"/>
            <w:r w:rsidRPr="00DF7A6F">
              <w:rPr>
                <w:rFonts w:eastAsia="Times New Roman" w:cs="Times New Roman"/>
                <w:bCs/>
                <w:sz w:val="21"/>
                <w:szCs w:val="21"/>
                <w:lang w:eastAsia="en-GB"/>
              </w:rPr>
              <w:t xml:space="preserve"> was asked about his criminal record and then denied insurance. </w:t>
            </w:r>
            <w:proofErr w:type="spellStart"/>
            <w:r w:rsidRPr="00DF7A6F">
              <w:rPr>
                <w:rFonts w:eastAsia="Times New Roman" w:cs="Times New Roman"/>
                <w:bCs/>
                <w:sz w:val="21"/>
                <w:szCs w:val="21"/>
                <w:lang w:eastAsia="en-GB"/>
              </w:rPr>
              <w:t>Apoor</w:t>
            </w:r>
            <w:proofErr w:type="spellEnd"/>
            <w:r w:rsidRPr="00DF7A6F">
              <w:rPr>
                <w:rFonts w:eastAsia="Times New Roman" w:cs="Times New Roman"/>
                <w:bCs/>
                <w:sz w:val="21"/>
                <w:szCs w:val="21"/>
                <w:lang w:eastAsia="en-GB"/>
              </w:rPr>
              <w:t xml:space="preserve"> did not think his record was relevant to his insurance request.</w:t>
            </w:r>
          </w:p>
        </w:tc>
      </w:tr>
      <w:tr w:rsidR="00DF7A6F" w:rsidRPr="009E5D7D" w14:paraId="561C4BE5" w14:textId="77777777" w:rsidTr="00652CFA">
        <w:trPr>
          <w:cnfStyle w:val="000000010000" w:firstRow="0" w:lastRow="0" w:firstColumn="0" w:lastColumn="0" w:oddVBand="0" w:evenVBand="0" w:oddHBand="0" w:evenHBand="1" w:firstRowFirstColumn="0" w:firstRowLastColumn="0" w:lastRowFirstColumn="0" w:lastRowLastColumn="0"/>
        </w:trPr>
        <w:tc>
          <w:tcPr>
            <w:tcW w:w="9067" w:type="dxa"/>
          </w:tcPr>
          <w:p w14:paraId="57403ACA" w14:textId="4EA3F865" w:rsidR="00DF7A6F" w:rsidRPr="009E5D7D" w:rsidRDefault="00DF7A6F" w:rsidP="004A6954">
            <w:pPr>
              <w:keepNext/>
              <w:keepLines/>
              <w:spacing w:before="120" w:line="260" w:lineRule="atLeast"/>
              <w:rPr>
                <w:rFonts w:eastAsia="Times New Roman" w:cs="Times New Roman"/>
                <w:bCs/>
                <w:sz w:val="21"/>
                <w:szCs w:val="21"/>
                <w:lang w:eastAsia="en-GB"/>
              </w:rPr>
            </w:pPr>
            <w:r w:rsidRPr="00DF7A6F">
              <w:rPr>
                <w:rFonts w:eastAsia="Times New Roman" w:cs="Times New Roman"/>
                <w:bCs/>
                <w:sz w:val="21"/>
                <w:szCs w:val="21"/>
                <w:lang w:eastAsia="en-GB"/>
              </w:rPr>
              <w:t xml:space="preserve">Tom* was refused accommodation </w:t>
            </w:r>
            <w:proofErr w:type="gramStart"/>
            <w:r w:rsidRPr="00DF7A6F">
              <w:rPr>
                <w:rFonts w:eastAsia="Times New Roman" w:cs="Times New Roman"/>
                <w:bCs/>
                <w:sz w:val="21"/>
                <w:szCs w:val="21"/>
                <w:lang w:eastAsia="en-GB"/>
              </w:rPr>
              <w:t>on the basis of</w:t>
            </w:r>
            <w:proofErr w:type="gramEnd"/>
            <w:r w:rsidRPr="00DF7A6F">
              <w:rPr>
                <w:rFonts w:eastAsia="Times New Roman" w:cs="Times New Roman"/>
                <w:bCs/>
                <w:sz w:val="21"/>
                <w:szCs w:val="21"/>
                <w:lang w:eastAsia="en-GB"/>
              </w:rPr>
              <w:t xml:space="preserve"> pending criminal charges</w:t>
            </w:r>
            <w:r w:rsidR="002F1127">
              <w:rPr>
                <w:rFonts w:eastAsia="Times New Roman" w:cs="Times New Roman"/>
                <w:bCs/>
                <w:sz w:val="21"/>
                <w:szCs w:val="21"/>
                <w:lang w:eastAsia="en-GB"/>
              </w:rPr>
              <w:t>.</w:t>
            </w:r>
          </w:p>
        </w:tc>
      </w:tr>
      <w:tr w:rsidR="00DF7A6F" w:rsidRPr="009E5D7D" w14:paraId="5F4941E6" w14:textId="77777777" w:rsidTr="00652CFA">
        <w:trPr>
          <w:cnfStyle w:val="000000100000" w:firstRow="0" w:lastRow="0" w:firstColumn="0" w:lastColumn="0" w:oddVBand="0" w:evenVBand="0" w:oddHBand="1" w:evenHBand="0" w:firstRowFirstColumn="0" w:firstRowLastColumn="0" w:lastRowFirstColumn="0" w:lastRowLastColumn="0"/>
        </w:trPr>
        <w:tc>
          <w:tcPr>
            <w:tcW w:w="9067" w:type="dxa"/>
          </w:tcPr>
          <w:p w14:paraId="72C088B3" w14:textId="1ADC4FD3" w:rsidR="00DF7A6F" w:rsidRPr="009E5D7D" w:rsidRDefault="00DF7A6F" w:rsidP="004A6954">
            <w:pPr>
              <w:keepNext/>
              <w:keepLines/>
              <w:spacing w:before="120" w:line="260" w:lineRule="atLeast"/>
              <w:rPr>
                <w:bCs/>
              </w:rPr>
            </w:pPr>
            <w:r w:rsidRPr="00DF7A6F">
              <w:rPr>
                <w:rFonts w:eastAsia="Times New Roman" w:cs="Times New Roman"/>
                <w:bCs/>
                <w:sz w:val="21"/>
                <w:szCs w:val="24"/>
                <w:lang w:eastAsia="en-GB"/>
              </w:rPr>
              <w:t>A community security organisation (not affiliated with the police) ran some ‘background checks’, and found out that Mel* had a history of domestic violence and pending charges. The organisation told an education institute where Mel is enrolled, and a religious organisation that Mel attends, about her criminal history. The organisation says Mel is not allowed to enter those premises due to her criminal history.</w:t>
            </w:r>
          </w:p>
        </w:tc>
      </w:tr>
    </w:tbl>
    <w:p w14:paraId="44AA541B" w14:textId="502155A1" w:rsidR="008E7080" w:rsidRPr="004A6954" w:rsidRDefault="008E7080" w:rsidP="004A6954">
      <w:pPr>
        <w:pStyle w:val="VEOHRCBodytext"/>
        <w:keepLines/>
        <w:jc w:val="both"/>
        <w:rPr>
          <w:rFonts w:cs="Arial"/>
          <w:sz w:val="20"/>
        </w:rPr>
      </w:pPr>
      <w:r w:rsidRPr="004A6954">
        <w:rPr>
          <w:rFonts w:cs="Arial"/>
          <w:sz w:val="20"/>
        </w:rPr>
        <w:t>* = not their real name.</w:t>
      </w:r>
    </w:p>
    <w:p w14:paraId="0F1B0D89" w14:textId="08D73F76" w:rsidR="009E5D7D" w:rsidRDefault="00DF7A6F" w:rsidP="004A6954">
      <w:pPr>
        <w:pStyle w:val="VEOHRCBodytext"/>
        <w:keepLines/>
        <w:jc w:val="both"/>
        <w:rPr>
          <w:rFonts w:cs="Arial"/>
        </w:rPr>
      </w:pPr>
      <w:r>
        <w:rPr>
          <w:rFonts w:cs="Arial"/>
        </w:rPr>
        <w:t xml:space="preserve">In the examples above, it is difficult to determine if the criminal record is relevant to the decision to deny the person access to a service. </w:t>
      </w:r>
    </w:p>
    <w:p w14:paraId="43EB9F66" w14:textId="447F7300" w:rsidR="00C21C98" w:rsidRDefault="00DF7A6F" w:rsidP="000A6954">
      <w:pPr>
        <w:pStyle w:val="Heading3"/>
      </w:pPr>
      <w:r>
        <w:t>Unfair treatment: concerns with process</w:t>
      </w:r>
    </w:p>
    <w:p w14:paraId="7A4E560B" w14:textId="19CED7FE" w:rsidR="004D7CF3" w:rsidRDefault="004D7CF3" w:rsidP="004A6954">
      <w:pPr>
        <w:pStyle w:val="BodyText"/>
        <w:keepNext/>
        <w:rPr>
          <w:lang w:eastAsia="en-AU"/>
        </w:rPr>
      </w:pPr>
      <w:r>
        <w:rPr>
          <w:lang w:eastAsia="en-AU"/>
        </w:rPr>
        <w:t>The Commission also receives enquiries that demonstrate some confusion about the scope of the term ‘criminal record’, and the process undertaken by Victoria Police and other entities when releas</w:t>
      </w:r>
      <w:r w:rsidR="004A6954">
        <w:rPr>
          <w:lang w:eastAsia="en-AU"/>
        </w:rPr>
        <w:t>ing</w:t>
      </w:r>
      <w:r>
        <w:rPr>
          <w:lang w:eastAsia="en-AU"/>
        </w:rPr>
        <w:t xml:space="preserve"> information.</w:t>
      </w:r>
    </w:p>
    <w:p w14:paraId="686B96CC" w14:textId="698E1C50" w:rsidR="004D7CF3" w:rsidRPr="002319C4" w:rsidRDefault="004D7CF3" w:rsidP="004A6954">
      <w:pPr>
        <w:pStyle w:val="BodyText"/>
        <w:keepNext/>
        <w:rPr>
          <w:lang w:eastAsia="en-AU"/>
        </w:rPr>
      </w:pPr>
      <w:r>
        <w:rPr>
          <w:lang w:eastAsia="en-AU"/>
        </w:rPr>
        <w:t xml:space="preserve">Furthermore, callers to the Commission </w:t>
      </w:r>
      <w:r w:rsidR="00AF0826">
        <w:rPr>
          <w:lang w:eastAsia="en-AU"/>
        </w:rPr>
        <w:t xml:space="preserve">are at times </w:t>
      </w:r>
      <w:r>
        <w:rPr>
          <w:lang w:eastAsia="en-AU"/>
        </w:rPr>
        <w:t>confus</w:t>
      </w:r>
      <w:r w:rsidR="00AF0826">
        <w:rPr>
          <w:lang w:eastAsia="en-AU"/>
        </w:rPr>
        <w:t>ed</w:t>
      </w:r>
      <w:r>
        <w:rPr>
          <w:lang w:eastAsia="en-AU"/>
        </w:rPr>
        <w:t xml:space="preserve"> about the application and consistency of decisions by employers, including decisions about how to assess the relevance of any conviction in the context of employment. </w:t>
      </w:r>
    </w:p>
    <w:tbl>
      <w:tblPr>
        <w:tblStyle w:val="CustomTableblue1"/>
        <w:tblW w:w="9067" w:type="dxa"/>
        <w:tblLook w:val="0420" w:firstRow="1" w:lastRow="0" w:firstColumn="0" w:lastColumn="0" w:noHBand="0" w:noVBand="1"/>
      </w:tblPr>
      <w:tblGrid>
        <w:gridCol w:w="9067"/>
      </w:tblGrid>
      <w:tr w:rsidR="00DF7A6F" w:rsidRPr="009E5D7D" w14:paraId="3E3AA3B2" w14:textId="77777777" w:rsidTr="00652CFA">
        <w:trPr>
          <w:cnfStyle w:val="100000000000" w:firstRow="1" w:lastRow="0" w:firstColumn="0" w:lastColumn="0" w:oddVBand="0" w:evenVBand="0" w:oddHBand="0" w:evenHBand="0" w:firstRowFirstColumn="0" w:firstRowLastColumn="0" w:lastRowFirstColumn="0" w:lastRowLastColumn="0"/>
        </w:trPr>
        <w:tc>
          <w:tcPr>
            <w:tcW w:w="9067" w:type="dxa"/>
          </w:tcPr>
          <w:p w14:paraId="7229875B" w14:textId="351BBDB9" w:rsidR="00DF7A6F" w:rsidRPr="009E5D7D" w:rsidRDefault="00DF7A6F" w:rsidP="004A6954">
            <w:pPr>
              <w:pStyle w:val="BodyText"/>
              <w:keepNext/>
            </w:pPr>
            <w:r w:rsidRPr="00F42EFD">
              <w:rPr>
                <w:rStyle w:val="Characterbold"/>
                <w:b/>
              </w:rPr>
              <w:t xml:space="preserve">Criminal records and </w:t>
            </w:r>
            <w:r>
              <w:rPr>
                <w:rStyle w:val="Characterbold"/>
                <w:b/>
              </w:rPr>
              <w:t>information processes</w:t>
            </w:r>
          </w:p>
        </w:tc>
      </w:tr>
      <w:tr w:rsidR="00DF7A6F" w:rsidRPr="009E5D7D" w14:paraId="1AC943A4" w14:textId="77777777" w:rsidTr="00652CFA">
        <w:trPr>
          <w:cnfStyle w:val="000000100000" w:firstRow="0" w:lastRow="0" w:firstColumn="0" w:lastColumn="0" w:oddVBand="0" w:evenVBand="0" w:oddHBand="1" w:evenHBand="0" w:firstRowFirstColumn="0" w:firstRowLastColumn="0" w:lastRowFirstColumn="0" w:lastRowLastColumn="0"/>
        </w:trPr>
        <w:tc>
          <w:tcPr>
            <w:tcW w:w="9067" w:type="dxa"/>
          </w:tcPr>
          <w:p w14:paraId="6AA6C465" w14:textId="68476A75" w:rsidR="00DF7A6F" w:rsidRPr="009E5D7D" w:rsidRDefault="00DF7A6F" w:rsidP="004A6954">
            <w:pPr>
              <w:keepNext/>
              <w:spacing w:before="120" w:line="260" w:lineRule="atLeast"/>
              <w:rPr>
                <w:rFonts w:eastAsia="Times New Roman" w:cs="Times New Roman"/>
                <w:bCs/>
                <w:sz w:val="21"/>
                <w:szCs w:val="21"/>
                <w:lang w:eastAsia="en-GB"/>
              </w:rPr>
            </w:pPr>
            <w:r w:rsidRPr="00DF7A6F">
              <w:rPr>
                <w:rFonts w:eastAsia="Times New Roman" w:cs="Times New Roman"/>
                <w:bCs/>
                <w:sz w:val="21"/>
                <w:szCs w:val="21"/>
                <w:lang w:eastAsia="en-GB"/>
              </w:rPr>
              <w:t>Shen* received his police check. Shen tried to apply for a job but did not get accepted due to his ‘criminal record’, even though he has not been convicted of an offence.</w:t>
            </w:r>
          </w:p>
        </w:tc>
      </w:tr>
      <w:tr w:rsidR="00DF7A6F" w:rsidRPr="009E5D7D" w14:paraId="1C3B89C7" w14:textId="77777777" w:rsidTr="00652CFA">
        <w:trPr>
          <w:cnfStyle w:val="000000010000" w:firstRow="0" w:lastRow="0" w:firstColumn="0" w:lastColumn="0" w:oddVBand="0" w:evenVBand="0" w:oddHBand="0" w:evenHBand="1" w:firstRowFirstColumn="0" w:firstRowLastColumn="0" w:lastRowFirstColumn="0" w:lastRowLastColumn="0"/>
        </w:trPr>
        <w:tc>
          <w:tcPr>
            <w:tcW w:w="9067" w:type="dxa"/>
          </w:tcPr>
          <w:p w14:paraId="3634A21A" w14:textId="545A6DE3" w:rsidR="00DF7A6F" w:rsidRPr="009E5D7D" w:rsidRDefault="00DF7A6F" w:rsidP="004A6954">
            <w:pPr>
              <w:keepNext/>
              <w:spacing w:before="120" w:line="260" w:lineRule="atLeast"/>
              <w:rPr>
                <w:rFonts w:eastAsia="Times New Roman" w:cs="Times New Roman"/>
                <w:bCs/>
                <w:sz w:val="21"/>
                <w:szCs w:val="21"/>
                <w:lang w:eastAsia="en-GB"/>
              </w:rPr>
            </w:pPr>
            <w:r w:rsidRPr="00DF7A6F">
              <w:rPr>
                <w:rFonts w:eastAsia="Times New Roman" w:cs="Times New Roman"/>
                <w:bCs/>
                <w:sz w:val="21"/>
                <w:szCs w:val="21"/>
                <w:lang w:eastAsia="en-GB"/>
              </w:rPr>
              <w:t>Sam* has lost her job for having a Driving Under Influence (DUI) conviction. Sam is aware of another colleague, who also had a DUI, being reinstated into the role. Sam questions the consistency of decisions</w:t>
            </w:r>
          </w:p>
        </w:tc>
      </w:tr>
    </w:tbl>
    <w:p w14:paraId="1225B540" w14:textId="037CEAB6" w:rsidR="008E7080" w:rsidRPr="004A6954" w:rsidRDefault="008E7080" w:rsidP="004A6954">
      <w:pPr>
        <w:pStyle w:val="VEOHRCBodytext"/>
        <w:jc w:val="both"/>
        <w:rPr>
          <w:sz w:val="21"/>
          <w:szCs w:val="21"/>
        </w:rPr>
      </w:pPr>
      <w:r w:rsidRPr="00FE7AE2">
        <w:rPr>
          <w:rFonts w:cs="Arial"/>
          <w:sz w:val="21"/>
          <w:szCs w:val="21"/>
        </w:rPr>
        <w:t>* = not their real name.</w:t>
      </w:r>
    </w:p>
    <w:p w14:paraId="2DDCA7C3" w14:textId="4660FF0F" w:rsidR="00A1422A" w:rsidRDefault="00BD7527" w:rsidP="004A6954">
      <w:pPr>
        <w:pStyle w:val="Heading3"/>
      </w:pPr>
      <w:r>
        <w:t>Impact of discrimination</w:t>
      </w:r>
    </w:p>
    <w:p w14:paraId="5ECB5175" w14:textId="77777777" w:rsidR="00421940" w:rsidRDefault="00421940" w:rsidP="004A6954">
      <w:pPr>
        <w:pStyle w:val="VEOHRCBodytext"/>
        <w:jc w:val="both"/>
        <w:rPr>
          <w:rFonts w:cs="Arial"/>
        </w:rPr>
      </w:pPr>
      <w:r>
        <w:rPr>
          <w:rFonts w:cs="Arial"/>
        </w:rPr>
        <w:t>The enquiries received by the Commission indicate that the experience of criminal record discrimination is felt widely and deeply</w:t>
      </w:r>
      <w:r w:rsidRPr="005B3362">
        <w:rPr>
          <w:rFonts w:cs="Arial"/>
        </w:rPr>
        <w:t xml:space="preserve"> </w:t>
      </w:r>
      <w:r>
        <w:rPr>
          <w:rFonts w:cs="Arial"/>
        </w:rPr>
        <w:t>across Victoria. The enquiries show:</w:t>
      </w:r>
    </w:p>
    <w:p w14:paraId="3900CEE5" w14:textId="0BE115A3" w:rsidR="00421940" w:rsidRDefault="00421940" w:rsidP="004A6954">
      <w:pPr>
        <w:pStyle w:val="VEOHRCBodytext"/>
        <w:numPr>
          <w:ilvl w:val="0"/>
          <w:numId w:val="24"/>
        </w:numPr>
        <w:jc w:val="both"/>
        <w:rPr>
          <w:rFonts w:cs="Arial"/>
        </w:rPr>
      </w:pPr>
      <w:r>
        <w:rPr>
          <w:rFonts w:cs="Arial"/>
        </w:rPr>
        <w:t>a variety of different criminal records impacting hundreds of Victorians over several years</w:t>
      </w:r>
    </w:p>
    <w:p w14:paraId="6F0DF56A" w14:textId="77777777" w:rsidR="00421940" w:rsidRDefault="00421940" w:rsidP="004A6954">
      <w:pPr>
        <w:pStyle w:val="VEOHRCBodytext"/>
        <w:numPr>
          <w:ilvl w:val="0"/>
          <w:numId w:val="24"/>
        </w:numPr>
        <w:jc w:val="both"/>
        <w:rPr>
          <w:rFonts w:cs="Arial"/>
        </w:rPr>
      </w:pPr>
      <w:r>
        <w:rPr>
          <w:rFonts w:cs="Arial"/>
        </w:rPr>
        <w:t>people fearing lost employment opportunities or feeling discriminated against at work because of a criminal record</w:t>
      </w:r>
    </w:p>
    <w:p w14:paraId="058CD5A1" w14:textId="77777777" w:rsidR="00421940" w:rsidRPr="00070475" w:rsidRDefault="00421940" w:rsidP="004A6954">
      <w:pPr>
        <w:pStyle w:val="VEOHRCBodytext"/>
        <w:numPr>
          <w:ilvl w:val="0"/>
          <w:numId w:val="24"/>
        </w:numPr>
        <w:jc w:val="both"/>
        <w:rPr>
          <w:rFonts w:cs="Arial"/>
        </w:rPr>
      </w:pPr>
      <w:r>
        <w:rPr>
          <w:rFonts w:cs="Arial"/>
        </w:rPr>
        <w:t>criminal records being considered in other areas of public life, particularly where people are seeking a service</w:t>
      </w:r>
    </w:p>
    <w:p w14:paraId="06EC272E" w14:textId="09B18043" w:rsidR="00421940" w:rsidRDefault="00421940" w:rsidP="004A6954">
      <w:pPr>
        <w:pStyle w:val="VEOHRCBodytext"/>
        <w:numPr>
          <w:ilvl w:val="0"/>
          <w:numId w:val="24"/>
        </w:numPr>
        <w:jc w:val="both"/>
        <w:rPr>
          <w:rFonts w:cs="Arial"/>
        </w:rPr>
      </w:pPr>
      <w:r>
        <w:rPr>
          <w:rFonts w:cs="Arial"/>
        </w:rPr>
        <w:t>consistent confusion expressed by Victorians regarding what information will be available on a criminal record</w:t>
      </w:r>
      <w:r w:rsidR="00AF0826">
        <w:rPr>
          <w:rFonts w:cs="Arial"/>
        </w:rPr>
        <w:t>.</w:t>
      </w:r>
    </w:p>
    <w:p w14:paraId="2CA7D133" w14:textId="77777777" w:rsidR="00421940" w:rsidRDefault="00421940" w:rsidP="004A6954">
      <w:pPr>
        <w:pStyle w:val="VEOHRCBodytext"/>
      </w:pPr>
      <w:r>
        <w:lastRenderedPageBreak/>
        <w:t xml:space="preserve">In each instance, the person is unable to seek redress of a decision under Victoria’s anti-discrimination laws. </w:t>
      </w:r>
    </w:p>
    <w:p w14:paraId="3D1161ED" w14:textId="5507C942" w:rsidR="00421940" w:rsidRDefault="00421940" w:rsidP="004A6954">
      <w:pPr>
        <w:pStyle w:val="VEOHRCBodytext"/>
        <w:jc w:val="both"/>
        <w:rPr>
          <w:rFonts w:cs="Arial"/>
        </w:rPr>
      </w:pPr>
      <w:r>
        <w:rPr>
          <w:rFonts w:cs="Arial"/>
        </w:rPr>
        <w:t>While the Commission considers the number of enquiries it has received in relation to criminal record discrimination is significant,</w:t>
      </w:r>
      <w:r w:rsidRPr="006D3BF6">
        <w:rPr>
          <w:rFonts w:cs="Arial"/>
        </w:rPr>
        <w:t xml:space="preserve"> </w:t>
      </w:r>
      <w:r>
        <w:rPr>
          <w:rFonts w:cs="Arial"/>
        </w:rPr>
        <w:t xml:space="preserve">it also is difficult to quantify the total number of people who are impacted </w:t>
      </w:r>
      <w:r w:rsidR="00357282">
        <w:rPr>
          <w:rFonts w:cs="Arial"/>
        </w:rPr>
        <w:t>by</w:t>
      </w:r>
      <w:r>
        <w:rPr>
          <w:rFonts w:cs="Arial"/>
        </w:rPr>
        <w:t xml:space="preserve"> irrelevant criminal record discrimination. Many people may not report unfair treatment to the Commission, for reasons including the absence of legal redress, as well as stigma associated with criminal records.</w:t>
      </w:r>
      <w:r>
        <w:rPr>
          <w:rStyle w:val="FootnoteReference"/>
          <w:rFonts w:cs="Arial"/>
        </w:rPr>
        <w:footnoteReference w:id="18"/>
      </w:r>
    </w:p>
    <w:p w14:paraId="2F1B37AC" w14:textId="1A909FDC" w:rsidR="00BD7527" w:rsidRDefault="00BD7527" w:rsidP="000A6954">
      <w:pPr>
        <w:pStyle w:val="VEOHRCBodytext"/>
        <w:jc w:val="both"/>
        <w:rPr>
          <w:rFonts w:cs="Arial"/>
        </w:rPr>
      </w:pPr>
      <w:r>
        <w:rPr>
          <w:rFonts w:cs="Arial"/>
        </w:rPr>
        <w:t>Consideration of a person’s criminal record where it is irrelevant to the applicant’s prospective employment “can blight opportunities even after the punishment is spent”</w:t>
      </w:r>
      <w:r w:rsidR="005B6F74">
        <w:rPr>
          <w:rFonts w:cs="Arial"/>
        </w:rPr>
        <w:t>.</w:t>
      </w:r>
      <w:r>
        <w:rPr>
          <w:rStyle w:val="FootnoteReference"/>
          <w:rFonts w:cs="Arial"/>
        </w:rPr>
        <w:footnoteReference w:id="19"/>
      </w:r>
      <w:r>
        <w:rPr>
          <w:rFonts w:cs="Arial"/>
        </w:rPr>
        <w:t xml:space="preserve"> If someone can work, and wants to work, they should be allowed to work in jobs for which they are suited.</w:t>
      </w:r>
      <w:r>
        <w:rPr>
          <w:rStyle w:val="FootnoteReference"/>
          <w:rFonts w:cs="Arial"/>
        </w:rPr>
        <w:footnoteReference w:id="20"/>
      </w:r>
      <w:r>
        <w:rPr>
          <w:rFonts w:cs="Arial"/>
        </w:rPr>
        <w:t xml:space="preserve"> Access to work</w:t>
      </w:r>
      <w:r w:rsidR="00357282">
        <w:rPr>
          <w:rFonts w:cs="Arial"/>
        </w:rPr>
        <w:t xml:space="preserve"> not only</w:t>
      </w:r>
      <w:r>
        <w:rPr>
          <w:rFonts w:cs="Arial"/>
        </w:rPr>
        <w:t xml:space="preserve"> provides an opportunity for a person to provide for their family and financially support themselves, but also to build personal relationships, autonomy and self-worth.</w:t>
      </w:r>
      <w:r w:rsidRPr="00EF5732">
        <w:rPr>
          <w:rFonts w:cs="Arial"/>
        </w:rPr>
        <w:t xml:space="preserve"> </w:t>
      </w:r>
    </w:p>
    <w:p w14:paraId="42337BB4" w14:textId="510F165F" w:rsidR="00BD7527" w:rsidRDefault="00BD7527">
      <w:pPr>
        <w:pStyle w:val="VEOHRCBodytext"/>
        <w:jc w:val="both"/>
        <w:rPr>
          <w:lang w:val="en-AU"/>
        </w:rPr>
      </w:pPr>
      <w:r>
        <w:rPr>
          <w:rFonts w:cs="Arial"/>
        </w:rPr>
        <w:t xml:space="preserve">Discrimination </w:t>
      </w:r>
      <w:proofErr w:type="gramStart"/>
      <w:r>
        <w:rPr>
          <w:rFonts w:cs="Arial"/>
        </w:rPr>
        <w:t>on the basis of</w:t>
      </w:r>
      <w:proofErr w:type="gramEnd"/>
      <w:r>
        <w:rPr>
          <w:rFonts w:cs="Arial"/>
        </w:rPr>
        <w:t xml:space="preserve"> an old or ‘irrelevant’ criminal record</w:t>
      </w:r>
      <w:r>
        <w:rPr>
          <w:rStyle w:val="FootnoteReference"/>
          <w:rFonts w:cs="Arial"/>
        </w:rPr>
        <w:footnoteReference w:id="21"/>
      </w:r>
      <w:r>
        <w:rPr>
          <w:rFonts w:cs="Arial"/>
        </w:rPr>
        <w:t xml:space="preserve"> may prevent people from reintegrating with</w:t>
      </w:r>
      <w:r w:rsidR="004A6954">
        <w:rPr>
          <w:rFonts w:cs="Arial"/>
        </w:rPr>
        <w:t xml:space="preserve"> the</w:t>
      </w:r>
      <w:r>
        <w:rPr>
          <w:rFonts w:cs="Arial"/>
        </w:rPr>
        <w:t xml:space="preserve"> community and from engaging in meaningful work</w:t>
      </w:r>
      <w:r w:rsidR="00347208">
        <w:rPr>
          <w:rFonts w:cs="Arial"/>
        </w:rPr>
        <w:t xml:space="preserve">, </w:t>
      </w:r>
      <w:r>
        <w:rPr>
          <w:rFonts w:cs="Arial"/>
        </w:rPr>
        <w:t>which</w:t>
      </w:r>
      <w:r>
        <w:rPr>
          <w:lang w:val="en-AU"/>
        </w:rPr>
        <w:t xml:space="preserve"> can have wide-ranging impacts on a person, including reducing employment opportunities, entrenching disadvantage and a person’s marginalised status. </w:t>
      </w:r>
    </w:p>
    <w:p w14:paraId="265B1BA4" w14:textId="4E7B199F" w:rsidR="000F07A4" w:rsidRDefault="00BD7527">
      <w:pPr>
        <w:pStyle w:val="VEOHRCBodytext"/>
        <w:jc w:val="both"/>
        <w:rPr>
          <w:lang w:val="en-AU"/>
        </w:rPr>
      </w:pPr>
      <w:proofErr w:type="gramStart"/>
      <w:r>
        <w:rPr>
          <w:lang w:val="en-AU"/>
        </w:rPr>
        <w:t>In particular, the</w:t>
      </w:r>
      <w:proofErr w:type="gramEnd"/>
      <w:r>
        <w:rPr>
          <w:lang w:val="en-AU"/>
        </w:rPr>
        <w:t xml:space="preserve"> Commission notes the disproportionate impact criminal record discrimination has on Aboriginal and Torres Strait Islander people, people with a mental health condition and people from low socio-economic backgrounds,</w:t>
      </w:r>
      <w:r>
        <w:rPr>
          <w:rStyle w:val="FootnoteReference"/>
          <w:lang w:val="en-AU"/>
        </w:rPr>
        <w:footnoteReference w:id="22"/>
      </w:r>
      <w:r>
        <w:rPr>
          <w:lang w:val="en-AU"/>
        </w:rPr>
        <w:t xml:space="preserve"> who are overrepresented in the criminal justice system. </w:t>
      </w:r>
    </w:p>
    <w:p w14:paraId="3081AA47" w14:textId="4CA4F089" w:rsidR="00475C71" w:rsidRDefault="000222CA">
      <w:pPr>
        <w:pStyle w:val="VEOHRCBodytext"/>
        <w:jc w:val="both"/>
        <w:rPr>
          <w:lang w:val="en-AU"/>
        </w:rPr>
      </w:pPr>
      <w:r>
        <w:rPr>
          <w:lang w:val="en-AU"/>
        </w:rPr>
        <w:t xml:space="preserve">Regarding the impact of criminal record discrimination, the Commission notes that </w:t>
      </w:r>
      <w:r w:rsidR="00357282">
        <w:rPr>
          <w:lang w:val="en-AU"/>
        </w:rPr>
        <w:t>t</w:t>
      </w:r>
      <w:r w:rsidR="000F07A4">
        <w:rPr>
          <w:lang w:val="en-AU"/>
        </w:rPr>
        <w:t xml:space="preserve">he Victorian </w:t>
      </w:r>
      <w:r w:rsidR="00357282">
        <w:rPr>
          <w:lang w:val="en-AU"/>
        </w:rPr>
        <w:t>G</w:t>
      </w:r>
      <w:r w:rsidR="000F07A4">
        <w:rPr>
          <w:lang w:val="en-AU"/>
        </w:rPr>
        <w:t xml:space="preserve">overnment’s </w:t>
      </w:r>
      <w:r>
        <w:rPr>
          <w:lang w:val="en-AU"/>
        </w:rPr>
        <w:t xml:space="preserve">Aboriginal </w:t>
      </w:r>
      <w:r w:rsidR="000F07A4">
        <w:rPr>
          <w:lang w:val="en-AU"/>
        </w:rPr>
        <w:t>policy reform</w:t>
      </w:r>
      <w:r>
        <w:rPr>
          <w:lang w:val="en-AU"/>
        </w:rPr>
        <w:t xml:space="preserve"> is underpinned by principles of self-determination,</w:t>
      </w:r>
      <w:r w:rsidR="000F07A4">
        <w:rPr>
          <w:rStyle w:val="FootnoteReference"/>
          <w:lang w:val="en-AU"/>
        </w:rPr>
        <w:footnoteReference w:id="23"/>
      </w:r>
      <w:r w:rsidR="000F07A4">
        <w:rPr>
          <w:lang w:val="en-AU"/>
        </w:rPr>
        <w:t xml:space="preserve"> </w:t>
      </w:r>
      <w:r>
        <w:rPr>
          <w:lang w:val="en-AU"/>
        </w:rPr>
        <w:t xml:space="preserve">as are </w:t>
      </w:r>
      <w:r w:rsidR="000F07A4">
        <w:rPr>
          <w:lang w:val="en-AU"/>
        </w:rPr>
        <w:t>broader commitments made under the Victorian Aboriginal Justice Agreement (</w:t>
      </w:r>
      <w:r w:rsidR="000F07A4" w:rsidRPr="00682C42">
        <w:rPr>
          <w:b/>
          <w:lang w:val="en-AU"/>
        </w:rPr>
        <w:t>AJA</w:t>
      </w:r>
      <w:r w:rsidR="000F07A4">
        <w:rPr>
          <w:lang w:val="en-AU"/>
        </w:rPr>
        <w:t>).</w:t>
      </w:r>
      <w:r w:rsidR="000F07A4">
        <w:rPr>
          <w:rStyle w:val="FootnoteReference"/>
          <w:lang w:val="en-AU"/>
        </w:rPr>
        <w:footnoteReference w:id="24"/>
      </w:r>
      <w:r w:rsidR="000F07A4">
        <w:rPr>
          <w:lang w:val="en-AU"/>
        </w:rPr>
        <w:t xml:space="preserve"> Key goals of the AJA include ‘fewer aboriginal people in the justice system’ by supporting people to ‘transition from the justice system and reintegrate into their communities’.</w:t>
      </w:r>
      <w:r w:rsidR="000F07A4">
        <w:rPr>
          <w:rStyle w:val="FootnoteReference"/>
          <w:lang w:val="en-AU"/>
        </w:rPr>
        <w:footnoteReference w:id="25"/>
      </w:r>
      <w:r w:rsidR="000F07A4">
        <w:rPr>
          <w:lang w:val="en-AU"/>
        </w:rPr>
        <w:t xml:space="preserve"> To address this, the AJA sets out a number of actions that the Victorian </w:t>
      </w:r>
      <w:r w:rsidR="00357282">
        <w:rPr>
          <w:lang w:val="en-AU"/>
        </w:rPr>
        <w:t>G</w:t>
      </w:r>
      <w:r w:rsidR="000F07A4">
        <w:rPr>
          <w:lang w:val="en-AU"/>
        </w:rPr>
        <w:t xml:space="preserve">overnment has committed to, including working with </w:t>
      </w:r>
      <w:r w:rsidR="000F07A4">
        <w:rPr>
          <w:lang w:val="en-AU"/>
        </w:rPr>
        <w:lastRenderedPageBreak/>
        <w:t>Aboriginal communities to consider employment options for Aboriginal people exiting the criminal justice system.</w:t>
      </w:r>
      <w:r w:rsidR="000F07A4">
        <w:rPr>
          <w:rStyle w:val="FootnoteReference"/>
          <w:lang w:val="en-AU"/>
        </w:rPr>
        <w:footnoteReference w:id="26"/>
      </w:r>
      <w:r w:rsidR="000F07A4">
        <w:rPr>
          <w:lang w:val="en-AU"/>
        </w:rPr>
        <w:t xml:space="preserve"> </w:t>
      </w:r>
    </w:p>
    <w:p w14:paraId="6CF469B9" w14:textId="6EAC9F78" w:rsidR="000222CA" w:rsidRPr="00421940" w:rsidRDefault="000222CA">
      <w:pPr>
        <w:pStyle w:val="VEOHRCBodytext"/>
        <w:jc w:val="both"/>
        <w:rPr>
          <w:lang w:val="en-AU"/>
        </w:rPr>
      </w:pPr>
      <w:r>
        <w:rPr>
          <w:lang w:val="en-AU"/>
        </w:rPr>
        <w:t xml:space="preserve">The introduction of a spent conviction scheme would afford Aboriginal people with substantive and meaningful autonomy to re-establish themselves after leaving </w:t>
      </w:r>
      <w:r w:rsidR="00357282">
        <w:rPr>
          <w:lang w:val="en-AU"/>
        </w:rPr>
        <w:t xml:space="preserve">the </w:t>
      </w:r>
      <w:r>
        <w:rPr>
          <w:lang w:val="en-AU"/>
        </w:rPr>
        <w:t xml:space="preserve">Victorian justice system and would go toward the Victorian </w:t>
      </w:r>
      <w:r w:rsidR="00357282">
        <w:rPr>
          <w:lang w:val="en-AU"/>
        </w:rPr>
        <w:t>G</w:t>
      </w:r>
      <w:r>
        <w:rPr>
          <w:lang w:val="en-AU"/>
        </w:rPr>
        <w:t>overnment’s stated commitments under the AJA.</w:t>
      </w:r>
    </w:p>
    <w:p w14:paraId="4A80A081" w14:textId="768E3990" w:rsidR="00475C71" w:rsidRDefault="00475C71" w:rsidP="004A6954">
      <w:pPr>
        <w:pStyle w:val="Heading1"/>
        <w:pageBreakBefore w:val="0"/>
      </w:pPr>
      <w:bookmarkStart w:id="31" w:name="_Toc14181863"/>
      <w:r>
        <w:t>Re</w:t>
      </w:r>
      <w:r w:rsidR="00582E76">
        <w:t>form</w:t>
      </w:r>
      <w:r w:rsidR="00347208">
        <w:t xml:space="preserve"> </w:t>
      </w:r>
      <w:r w:rsidR="00B67435">
        <w:t>to protect against discrimination</w:t>
      </w:r>
      <w:bookmarkEnd w:id="31"/>
    </w:p>
    <w:p w14:paraId="5FC7F77E" w14:textId="03199236" w:rsidR="00475C71" w:rsidRDefault="00E07145" w:rsidP="000A6954">
      <w:pPr>
        <w:pStyle w:val="VEOHRCBodytext"/>
        <w:jc w:val="both"/>
        <w:rPr>
          <w:lang w:val="en-AU"/>
        </w:rPr>
      </w:pPr>
      <w:r>
        <w:rPr>
          <w:lang w:val="en-AU"/>
        </w:rPr>
        <w:t>T</w:t>
      </w:r>
      <w:r w:rsidR="00475C71">
        <w:rPr>
          <w:lang w:val="en-AU"/>
        </w:rPr>
        <w:t xml:space="preserve">he </w:t>
      </w:r>
      <w:r>
        <w:rPr>
          <w:lang w:val="en-AU"/>
        </w:rPr>
        <w:t xml:space="preserve">information presented above indicates the need for a fairer system </w:t>
      </w:r>
      <w:r w:rsidR="00CF5D65">
        <w:rPr>
          <w:lang w:val="en-AU"/>
        </w:rPr>
        <w:t xml:space="preserve">in Victoria </w:t>
      </w:r>
      <w:r>
        <w:rPr>
          <w:lang w:val="en-AU"/>
        </w:rPr>
        <w:t xml:space="preserve">to ensure that people with a criminal </w:t>
      </w:r>
      <w:r w:rsidR="00B64DDE">
        <w:rPr>
          <w:lang w:val="en-AU"/>
        </w:rPr>
        <w:t>record</w:t>
      </w:r>
      <w:r>
        <w:rPr>
          <w:lang w:val="en-AU"/>
        </w:rPr>
        <w:t xml:space="preserve"> are not unduly penalised. T</w:t>
      </w:r>
      <w:r w:rsidR="00475C71">
        <w:rPr>
          <w:lang w:val="en-AU"/>
        </w:rPr>
        <w:t xml:space="preserve">he Commission considers that Victoria ought </w:t>
      </w:r>
      <w:r w:rsidR="00BD63B0">
        <w:rPr>
          <w:lang w:val="en-AU"/>
        </w:rPr>
        <w:t>to provide</w:t>
      </w:r>
      <w:r w:rsidR="00475C71">
        <w:rPr>
          <w:lang w:val="en-AU"/>
        </w:rPr>
        <w:t xml:space="preserve"> a legal mechanism that allows a person’s prior offending to not be listed as a ‘criminal record’</w:t>
      </w:r>
      <w:r w:rsidR="00886A9F">
        <w:rPr>
          <w:lang w:val="en-AU"/>
        </w:rPr>
        <w:t xml:space="preserve"> through the development of a spent conviction scheme</w:t>
      </w:r>
      <w:r w:rsidR="00475C71">
        <w:rPr>
          <w:lang w:val="en-AU"/>
        </w:rPr>
        <w:t xml:space="preserve">. </w:t>
      </w:r>
    </w:p>
    <w:p w14:paraId="0063D391" w14:textId="070AC91C" w:rsidR="00CF5D65" w:rsidRDefault="00CF5D65">
      <w:pPr>
        <w:pStyle w:val="VEOHRCBodytext"/>
        <w:jc w:val="both"/>
        <w:rPr>
          <w:lang w:val="en-AU"/>
        </w:rPr>
      </w:pPr>
      <w:r>
        <w:rPr>
          <w:lang w:val="en-AU"/>
        </w:rPr>
        <w:t xml:space="preserve">The Commission notes the many possible options regarding an appropriate time-frame for which different convictions could become spent, and different approaches taken by other </w:t>
      </w:r>
      <w:r w:rsidR="00357282">
        <w:rPr>
          <w:lang w:val="en-AU"/>
        </w:rPr>
        <w:t>s</w:t>
      </w:r>
      <w:r>
        <w:rPr>
          <w:lang w:val="en-AU"/>
        </w:rPr>
        <w:t>tates and territories</w:t>
      </w:r>
      <w:r w:rsidR="000C5222">
        <w:rPr>
          <w:lang w:val="en-AU"/>
        </w:rPr>
        <w:t>.</w:t>
      </w:r>
      <w:r>
        <w:rPr>
          <w:rStyle w:val="FootnoteReference"/>
          <w:lang w:val="en-AU"/>
        </w:rPr>
        <w:footnoteReference w:id="27"/>
      </w:r>
    </w:p>
    <w:p w14:paraId="5390C954" w14:textId="43D1E016" w:rsidR="00347208" w:rsidRDefault="00475C71" w:rsidP="004A6954">
      <w:pPr>
        <w:pStyle w:val="BodyText"/>
        <w:keepNext/>
      </w:pPr>
      <w:r>
        <w:t xml:space="preserve">The Commission does not make comment about the specifics of any contemplated scheme (save for the suggested legislative reform to the EO Act detailed below) but encourages the Inquiry to give weight to proposals for a scheme made by people with lived experiences of criminal record discrimination, such as the Victorian Aboriginal-led Criminal Record Discrimination Project led by </w:t>
      </w:r>
      <w:proofErr w:type="spellStart"/>
      <w:r>
        <w:t>Woor-Dungin</w:t>
      </w:r>
      <w:proofErr w:type="spellEnd"/>
      <w:r>
        <w:t>.</w:t>
      </w:r>
      <w:r w:rsidRPr="00A43E0D">
        <w:rPr>
          <w:vertAlign w:val="superscript"/>
        </w:rPr>
        <w:footnoteReference w:id="28"/>
      </w:r>
    </w:p>
    <w:p w14:paraId="270530E5" w14:textId="658E7D34" w:rsidR="00886A9F" w:rsidRDefault="000222CA" w:rsidP="000A6954">
      <w:pPr>
        <w:pStyle w:val="VEOHRCBodytext"/>
        <w:jc w:val="both"/>
      </w:pPr>
      <w:bookmarkStart w:id="32" w:name="_Toc14102593"/>
      <w:bookmarkStart w:id="33" w:name="_Toc14108333"/>
      <w:bookmarkEnd w:id="32"/>
      <w:bookmarkEnd w:id="33"/>
      <w:r>
        <w:t xml:space="preserve">Legal protection against discrimination sets a standard that guides community conduct, as well as providing an avenue for recourse to people adversely affected by discrimination. </w:t>
      </w:r>
      <w:r w:rsidR="00D8670C">
        <w:t>As such, r</w:t>
      </w:r>
      <w:r w:rsidR="00886A9F">
        <w:t xml:space="preserve">eform to the EO Act </w:t>
      </w:r>
      <w:r w:rsidR="00D8670C">
        <w:t>will be</w:t>
      </w:r>
      <w:r w:rsidR="00886A9F">
        <w:t xml:space="preserve"> a necessary part of tackling criminal record </w:t>
      </w:r>
      <w:proofErr w:type="gramStart"/>
      <w:r w:rsidR="00886A9F">
        <w:t>discrimination</w:t>
      </w:r>
      <w:r w:rsidR="00D40314">
        <w:t>, and</w:t>
      </w:r>
      <w:proofErr w:type="gramEnd"/>
      <w:r w:rsidR="00D40314">
        <w:t xml:space="preserve"> would therefore be an important complement to any spent conviction scheme</w:t>
      </w:r>
      <w:r w:rsidR="00886A9F">
        <w:t>.</w:t>
      </w:r>
    </w:p>
    <w:p w14:paraId="6BEF073C" w14:textId="37096F80" w:rsidR="00475C71" w:rsidRDefault="00475C71">
      <w:pPr>
        <w:pStyle w:val="VEOHRCBodytext"/>
        <w:jc w:val="both"/>
        <w:rPr>
          <w:lang w:val="en-AU"/>
        </w:rPr>
      </w:pPr>
      <w:r w:rsidRPr="00DA606F">
        <w:rPr>
          <w:lang w:val="en-AU"/>
        </w:rPr>
        <w:t xml:space="preserve">Victoria is now the only state in Australia </w:t>
      </w:r>
      <w:r>
        <w:rPr>
          <w:lang w:val="en-AU"/>
        </w:rPr>
        <w:t xml:space="preserve">without </w:t>
      </w:r>
      <w:r w:rsidRPr="00DA606F">
        <w:rPr>
          <w:lang w:val="en-AU"/>
        </w:rPr>
        <w:t>a regime in place to re</w:t>
      </w:r>
      <w:r>
        <w:rPr>
          <w:lang w:val="en-AU"/>
        </w:rPr>
        <w:t>g</w:t>
      </w:r>
      <w:r w:rsidRPr="00DA606F">
        <w:rPr>
          <w:lang w:val="en-AU"/>
        </w:rPr>
        <w:t>ulate</w:t>
      </w:r>
      <w:r w:rsidR="00357282">
        <w:rPr>
          <w:lang w:val="en-AU"/>
        </w:rPr>
        <w:t xml:space="preserve"> the existence of</w:t>
      </w:r>
      <w:r w:rsidRPr="00DA606F">
        <w:rPr>
          <w:lang w:val="en-AU"/>
        </w:rPr>
        <w:t xml:space="preserve"> old or irrelevant convictions</w:t>
      </w:r>
      <w:r>
        <w:rPr>
          <w:lang w:val="en-AU"/>
        </w:rPr>
        <w:t>, with many states also making legislative changes to their anti-discrimination laws to ensure that either ‘spent’ or ‘irrelevant’ criminal records are expressly covered.</w:t>
      </w:r>
      <w:r w:rsidRPr="009A0C55">
        <w:rPr>
          <w:vertAlign w:val="superscript"/>
          <w:lang w:val="en-AU"/>
        </w:rPr>
        <w:footnoteReference w:id="29"/>
      </w:r>
    </w:p>
    <w:p w14:paraId="5DC39063" w14:textId="139E3D47" w:rsidR="00A85F7F" w:rsidRDefault="00475C71">
      <w:pPr>
        <w:pStyle w:val="VEOHRCBodytext"/>
        <w:jc w:val="both"/>
      </w:pPr>
      <w:r>
        <w:rPr>
          <w:lang w:val="en-AU"/>
        </w:rPr>
        <w:t xml:space="preserve">Currently the EO Act does not prohibit </w:t>
      </w:r>
      <w:r w:rsidRPr="00D45BE6">
        <w:rPr>
          <w:rFonts w:cs="Arial"/>
        </w:rPr>
        <w:t>discrimination</w:t>
      </w:r>
      <w:r>
        <w:rPr>
          <w:lang w:val="en-AU"/>
        </w:rPr>
        <w:t xml:space="preserve"> </w:t>
      </w:r>
      <w:proofErr w:type="gramStart"/>
      <w:r>
        <w:rPr>
          <w:lang w:val="en-AU"/>
        </w:rPr>
        <w:t>on the basis of</w:t>
      </w:r>
      <w:proofErr w:type="gramEnd"/>
      <w:r>
        <w:rPr>
          <w:lang w:val="en-AU"/>
        </w:rPr>
        <w:t xml:space="preserve"> a criminal record (either ‘irrelevant’ or ‘spent'). </w:t>
      </w:r>
      <w:r>
        <w:t>The Commission considers that</w:t>
      </w:r>
      <w:r w:rsidR="00886A9F">
        <w:t xml:space="preserve"> it is important to provide </w:t>
      </w:r>
      <w:r w:rsidR="00886A9F">
        <w:lastRenderedPageBreak/>
        <w:t>a mechanism in Victorian law</w:t>
      </w:r>
      <w:r w:rsidR="001A01EA">
        <w:t xml:space="preserve"> </w:t>
      </w:r>
      <w:r w:rsidR="00886A9F">
        <w:t xml:space="preserve">to establish that discrimination on the basis of an irrelevant criminal record is unlawful. </w:t>
      </w:r>
    </w:p>
    <w:p w14:paraId="4BF56AA7" w14:textId="000747B6" w:rsidR="00475C71" w:rsidRPr="00615713" w:rsidRDefault="00886A9F">
      <w:pPr>
        <w:pStyle w:val="VEOHRCBodytext"/>
        <w:jc w:val="both"/>
        <w:rPr>
          <w:lang w:val="en-AU"/>
        </w:rPr>
      </w:pPr>
      <w:r>
        <w:t>Pr</w:t>
      </w:r>
      <w:r w:rsidR="00475C71">
        <w:t>oviding protection against discrimination would be a</w:t>
      </w:r>
      <w:r w:rsidR="00357282">
        <w:t>n important adjunct</w:t>
      </w:r>
      <w:r w:rsidR="00475C71">
        <w:t xml:space="preserve"> to any spent conviction scheme.</w:t>
      </w:r>
      <w:r w:rsidR="00475C71">
        <w:rPr>
          <w:rStyle w:val="FootnoteReference"/>
        </w:rPr>
        <w:footnoteReference w:id="30"/>
      </w:r>
      <w:r w:rsidR="00475C71">
        <w:t xml:space="preserve"> Absent these changes, people who experience </w:t>
      </w:r>
      <w:r w:rsidR="000C5222">
        <w:t>unfavourable treatment even when their conviction is spent</w:t>
      </w:r>
      <w:r w:rsidR="00475C71">
        <w:t xml:space="preserve"> would still have insufficient legal recourse to make a complaint or challenge a practice.</w:t>
      </w:r>
    </w:p>
    <w:p w14:paraId="59853DA0" w14:textId="36860325" w:rsidR="000C5222" w:rsidRDefault="00886A9F">
      <w:pPr>
        <w:pStyle w:val="VEOHRCBodytext"/>
        <w:jc w:val="both"/>
        <w:rPr>
          <w:lang w:val="en-AU"/>
        </w:rPr>
      </w:pPr>
      <w:r>
        <w:rPr>
          <w:lang w:val="en-AU"/>
        </w:rPr>
        <w:t>T</w:t>
      </w:r>
      <w:r w:rsidR="00475C71">
        <w:rPr>
          <w:lang w:val="en-AU"/>
        </w:rPr>
        <w:t xml:space="preserve">he </w:t>
      </w:r>
      <w:r w:rsidR="008B3EEE">
        <w:rPr>
          <w:lang w:val="en-AU"/>
        </w:rPr>
        <w:t xml:space="preserve">Commission notes the </w:t>
      </w:r>
      <w:r w:rsidR="00475C71">
        <w:rPr>
          <w:lang w:val="en-AU"/>
        </w:rPr>
        <w:t xml:space="preserve">addition of a protected attribute to address criminal records </w:t>
      </w:r>
      <w:r>
        <w:rPr>
          <w:lang w:val="en-AU"/>
        </w:rPr>
        <w:t xml:space="preserve">discrimination </w:t>
      </w:r>
      <w:r w:rsidR="00475C71">
        <w:rPr>
          <w:lang w:val="en-AU"/>
        </w:rPr>
        <w:t>under the EO Act</w:t>
      </w:r>
      <w:r>
        <w:rPr>
          <w:lang w:val="en-AU"/>
        </w:rPr>
        <w:t xml:space="preserve"> has community and academic support.</w:t>
      </w:r>
      <w:r w:rsidR="00475C71">
        <w:rPr>
          <w:rStyle w:val="FootnoteReference"/>
          <w:lang w:val="en-AU"/>
        </w:rPr>
        <w:footnoteReference w:id="31"/>
      </w:r>
      <w:r w:rsidR="00475C71">
        <w:rPr>
          <w:lang w:val="en-AU"/>
        </w:rPr>
        <w:t xml:space="preserve"> </w:t>
      </w:r>
    </w:p>
    <w:p w14:paraId="72CF994F" w14:textId="4AB1B8F4" w:rsidR="00DB7A37" w:rsidRDefault="00DB7A37">
      <w:pPr>
        <w:pStyle w:val="Heading2"/>
      </w:pPr>
      <w:bookmarkStart w:id="34" w:name="_Toc14181864"/>
      <w:r>
        <w:t>Human rights principles</w:t>
      </w:r>
      <w:bookmarkEnd w:id="34"/>
    </w:p>
    <w:p w14:paraId="5BBD5982" w14:textId="007C7D08" w:rsidR="00DB7A37" w:rsidRDefault="00DB7A37">
      <w:pPr>
        <w:keepNext/>
      </w:pPr>
      <w:r>
        <w:t xml:space="preserve">In Victoria, the </w:t>
      </w:r>
      <w:r w:rsidRPr="002F54CF">
        <w:t xml:space="preserve">Charter </w:t>
      </w:r>
      <w:r>
        <w:t xml:space="preserve">provides a framework for parliament to follow to ensure that human rights are </w:t>
      </w:r>
      <w:proofErr w:type="gramStart"/>
      <w:r>
        <w:t>taken into account</w:t>
      </w:r>
      <w:proofErr w:type="gramEnd"/>
      <w:r>
        <w:t xml:space="preserve"> when developing new laws and policies.</w:t>
      </w:r>
      <w:r>
        <w:rPr>
          <w:rStyle w:val="FootnoteReference"/>
        </w:rPr>
        <w:footnoteReference w:id="32"/>
      </w:r>
      <w:r>
        <w:t xml:space="preserve"> The Commission encourages the Committee to have regard to human rights in its consideration of a spent convictions scheme.</w:t>
      </w:r>
    </w:p>
    <w:p w14:paraId="0A1FB815" w14:textId="147BAE3E" w:rsidR="00DB7A37" w:rsidRDefault="00DB7A37">
      <w:pPr>
        <w:keepNext/>
      </w:pPr>
      <w:r>
        <w:t xml:space="preserve">In addition, the Commission submits that providing protection from discrimination </w:t>
      </w:r>
      <w:proofErr w:type="gramStart"/>
      <w:r w:rsidR="001B4AE0">
        <w:t>on the basis of</w:t>
      </w:r>
      <w:proofErr w:type="gramEnd"/>
      <w:r w:rsidR="001B4AE0">
        <w:t xml:space="preserve"> an irrelevant criminal record is consistent with </w:t>
      </w:r>
      <w:r w:rsidR="00073826">
        <w:t xml:space="preserve">human rights, in particular </w:t>
      </w:r>
      <w:r w:rsidR="001B4AE0">
        <w:t>rights to equality and rights to privacy</w:t>
      </w:r>
      <w:r>
        <w:t>.</w:t>
      </w:r>
    </w:p>
    <w:p w14:paraId="09B3FAED" w14:textId="063BB5BC" w:rsidR="001B4AE0" w:rsidRDefault="001B4AE0">
      <w:pPr>
        <w:pStyle w:val="Heading3"/>
      </w:pPr>
      <w:r>
        <w:t>Equality rights</w:t>
      </w:r>
    </w:p>
    <w:p w14:paraId="2F09EF2C" w14:textId="0DE2AEC6" w:rsidR="00073826" w:rsidRDefault="00073826" w:rsidP="004A6954">
      <w:pPr>
        <w:pStyle w:val="BodyText"/>
        <w:keepNext/>
        <w:rPr>
          <w:lang w:eastAsia="en-AU"/>
        </w:rPr>
      </w:pPr>
      <w:r w:rsidRPr="00185E99">
        <w:t xml:space="preserve">The right to equality </w:t>
      </w:r>
      <w:r>
        <w:t xml:space="preserve">protected </w:t>
      </w:r>
      <w:r w:rsidRPr="00185E99">
        <w:t>in s</w:t>
      </w:r>
      <w:r>
        <w:t>ection</w:t>
      </w:r>
      <w:r w:rsidRPr="00185E99">
        <w:t xml:space="preserve"> 8 of the Charter includes, </w:t>
      </w:r>
      <w:r>
        <w:t xml:space="preserve">at </w:t>
      </w:r>
      <w:r w:rsidRPr="00185E99">
        <w:t>s 8(3), the right to equal and effective protection against discrimination.  The Charter picks up the meaning of discrimination in the EO Act</w:t>
      </w:r>
      <w:r>
        <w:t>.</w:t>
      </w:r>
      <w:r>
        <w:rPr>
          <w:rStyle w:val="FootnoteReference"/>
        </w:rPr>
        <w:footnoteReference w:id="33"/>
      </w:r>
      <w:r>
        <w:t xml:space="preserve"> Currently, criminal records are not included </w:t>
      </w:r>
      <w:r w:rsidR="00357282">
        <w:t xml:space="preserve">as </w:t>
      </w:r>
      <w:r>
        <w:t>part of this definition.</w:t>
      </w:r>
    </w:p>
    <w:p w14:paraId="366CDBC2" w14:textId="1248F4D1" w:rsidR="00073826" w:rsidRPr="008468BA" w:rsidRDefault="00073826" w:rsidP="00753137">
      <w:pPr>
        <w:pStyle w:val="VEOHRCBodytext"/>
        <w:keepNext w:val="0"/>
        <w:jc w:val="both"/>
        <w:rPr>
          <w:lang w:val="en-AU"/>
        </w:rPr>
      </w:pPr>
      <w:r>
        <w:t>E</w:t>
      </w:r>
      <w:r w:rsidRPr="00073826">
        <w:t>xpanding the protection against discrimination to include irrelevant criminal record is consistent with art 26 of the I</w:t>
      </w:r>
      <w:r>
        <w:t>nternational Covenant on Civil and Political Rights, on which the Charter is modelled</w:t>
      </w:r>
      <w:r w:rsidRPr="00073826">
        <w:t>.</w:t>
      </w:r>
      <w:r>
        <w:t xml:space="preserve"> </w:t>
      </w:r>
      <w:r>
        <w:rPr>
          <w:lang w:val="en-AU"/>
        </w:rPr>
        <w:t>Article 26 of the ICCPR d</w:t>
      </w:r>
      <w:r w:rsidR="00347208">
        <w:rPr>
          <w:lang w:val="en-AU"/>
        </w:rPr>
        <w:t>efines</w:t>
      </w:r>
      <w:r>
        <w:rPr>
          <w:lang w:val="en-AU"/>
        </w:rPr>
        <w:t xml:space="preserve"> discrimination</w:t>
      </w:r>
      <w:r w:rsidR="00347208">
        <w:rPr>
          <w:lang w:val="en-AU"/>
        </w:rPr>
        <w:t xml:space="preserve"> as</w:t>
      </w:r>
      <w:r>
        <w:rPr>
          <w:lang w:val="en-AU"/>
        </w:rPr>
        <w:t xml:space="preserve"> </w:t>
      </w:r>
    </w:p>
    <w:p w14:paraId="3BB7AA97" w14:textId="13E49F84" w:rsidR="001B4AE0" w:rsidRPr="00B67435" w:rsidRDefault="00073826" w:rsidP="00753137">
      <w:pPr>
        <w:pStyle w:val="VEOHRCBodytext"/>
        <w:keepNext w:val="0"/>
        <w:ind w:left="720"/>
        <w:jc w:val="both"/>
        <w:rPr>
          <w:lang w:val="en-AU"/>
        </w:rPr>
      </w:pPr>
      <w:r w:rsidRPr="008468BA">
        <w:rPr>
          <w:lang w:val="en-AU"/>
        </w:rPr>
        <w:t>any distinction, exclusion, restriction or preference which is based on any</w:t>
      </w:r>
      <w:r>
        <w:rPr>
          <w:lang w:val="en-AU"/>
        </w:rPr>
        <w:t xml:space="preserve"> </w:t>
      </w:r>
      <w:r w:rsidRPr="008468BA">
        <w:rPr>
          <w:lang w:val="en-AU"/>
        </w:rPr>
        <w:t>ground</w:t>
      </w:r>
      <w:r>
        <w:rPr>
          <w:lang w:val="en-AU"/>
        </w:rPr>
        <w:t>…</w:t>
      </w:r>
      <w:r w:rsidRPr="008468BA">
        <w:rPr>
          <w:lang w:val="en-AU"/>
        </w:rPr>
        <w:t>which has the purpose or effect of nullifying or</w:t>
      </w:r>
      <w:r>
        <w:rPr>
          <w:lang w:val="en-AU"/>
        </w:rPr>
        <w:t xml:space="preserve"> </w:t>
      </w:r>
      <w:r w:rsidRPr="008468BA">
        <w:rPr>
          <w:lang w:val="en-AU"/>
        </w:rPr>
        <w:t>impairing the recognition, enjoyment or exercise by all persons, on an equal footing, of all rights</w:t>
      </w:r>
      <w:r>
        <w:rPr>
          <w:lang w:val="en-AU"/>
        </w:rPr>
        <w:t xml:space="preserve"> </w:t>
      </w:r>
      <w:r w:rsidRPr="008468BA">
        <w:rPr>
          <w:lang w:val="en-AU"/>
        </w:rPr>
        <w:t>and freedoms</w:t>
      </w:r>
      <w:r>
        <w:rPr>
          <w:lang w:val="en-AU"/>
        </w:rPr>
        <w:t>.</w:t>
      </w:r>
      <w:r>
        <w:rPr>
          <w:rStyle w:val="FootnoteReference"/>
          <w:lang w:val="en-AU"/>
        </w:rPr>
        <w:footnoteReference w:id="34"/>
      </w:r>
    </w:p>
    <w:p w14:paraId="0DE07B32" w14:textId="7DD9372F" w:rsidR="00DB7A37" w:rsidRPr="00615713" w:rsidRDefault="00DB7A37">
      <w:pPr>
        <w:pStyle w:val="Heading3"/>
      </w:pPr>
      <w:r w:rsidRPr="00615713">
        <w:lastRenderedPageBreak/>
        <w:t>Right to privacy</w:t>
      </w:r>
    </w:p>
    <w:p w14:paraId="77E2EFC6" w14:textId="44C83729" w:rsidR="00DB7A37" w:rsidRDefault="00DB7A37">
      <w:pPr>
        <w:pStyle w:val="VEOHRCBodytext"/>
        <w:jc w:val="both"/>
        <w:rPr>
          <w:lang w:val="en-AU"/>
        </w:rPr>
      </w:pPr>
      <w:r>
        <w:rPr>
          <w:lang w:val="en-AU"/>
        </w:rPr>
        <w:t>Importantly, consideration of a person’s criminal record may engage the right to privacy, which is protected in Victoria under section 13 of the Charter.</w:t>
      </w:r>
      <w:r>
        <w:rPr>
          <w:rStyle w:val="FootnoteReference"/>
          <w:lang w:val="en-AU"/>
        </w:rPr>
        <w:footnoteReference w:id="35"/>
      </w:r>
      <w:r>
        <w:rPr>
          <w:lang w:val="en-AU"/>
        </w:rPr>
        <w:t xml:space="preserve"> Section 13 provides a person has the right ‘n</w:t>
      </w:r>
      <w:r w:rsidRPr="00C16107">
        <w:rPr>
          <w:lang w:val="en-AU"/>
        </w:rPr>
        <w:t>ot to have his or her privacy, family, home or correspondence unlawfully or arbitrarily interfered with</w:t>
      </w:r>
      <w:r>
        <w:rPr>
          <w:lang w:val="en-AU"/>
        </w:rPr>
        <w:t>’.</w:t>
      </w:r>
    </w:p>
    <w:p w14:paraId="58156B20" w14:textId="77777777" w:rsidR="00DB7A37" w:rsidRDefault="00DB7A37">
      <w:pPr>
        <w:pStyle w:val="VEOHRCBodytext"/>
        <w:jc w:val="both"/>
        <w:rPr>
          <w:lang w:val="en-AU"/>
        </w:rPr>
      </w:pPr>
      <w:r>
        <w:rPr>
          <w:lang w:val="en-AU"/>
        </w:rPr>
        <w:t xml:space="preserve">In Victoria, there has been support for the argument that </w:t>
      </w:r>
      <w:r w:rsidRPr="007355F2">
        <w:rPr>
          <w:lang w:val="en-AU"/>
        </w:rPr>
        <w:t xml:space="preserve">consideration of a person’s </w:t>
      </w:r>
      <w:r w:rsidRPr="00B95BCC">
        <w:rPr>
          <w:i/>
          <w:lang w:val="en-AU"/>
        </w:rPr>
        <w:t>irrelevant</w:t>
      </w:r>
      <w:r w:rsidRPr="007355F2">
        <w:rPr>
          <w:lang w:val="en-AU"/>
        </w:rPr>
        <w:t xml:space="preserve"> criminal record may constitute an arbitrary interference with that person’s right to privacy. In the 2013 case of </w:t>
      </w:r>
      <w:r w:rsidRPr="007355F2">
        <w:rPr>
          <w:i/>
          <w:lang w:val="en-AU"/>
        </w:rPr>
        <w:t>ZZ</w:t>
      </w:r>
      <w:r>
        <w:rPr>
          <w:lang w:val="en-AU"/>
        </w:rPr>
        <w:t xml:space="preserve"> </w:t>
      </w:r>
      <w:r w:rsidRPr="007355F2">
        <w:rPr>
          <w:rFonts w:cs="Calibri"/>
          <w:i/>
          <w:szCs w:val="22"/>
        </w:rPr>
        <w:t>v Secretary, Department of Justice &amp; Department of Transport</w:t>
      </w:r>
      <w:r>
        <w:rPr>
          <w:rFonts w:cs="Calibri"/>
          <w:szCs w:val="22"/>
        </w:rPr>
        <w:t>,</w:t>
      </w:r>
      <w:r w:rsidRPr="007355F2">
        <w:rPr>
          <w:rStyle w:val="FootnoteReference"/>
          <w:rFonts w:cs="Calibri"/>
          <w:szCs w:val="22"/>
        </w:rPr>
        <w:footnoteReference w:id="36"/>
      </w:r>
      <w:r w:rsidRPr="007355F2">
        <w:rPr>
          <w:lang w:val="en-AU"/>
        </w:rPr>
        <w:t xml:space="preserve"> </w:t>
      </w:r>
      <w:r w:rsidRPr="007D2588">
        <w:rPr>
          <w:lang w:val="en-AU"/>
        </w:rPr>
        <w:t xml:space="preserve">Justice Bell </w:t>
      </w:r>
      <w:r>
        <w:rPr>
          <w:lang w:val="en-AU"/>
        </w:rPr>
        <w:t xml:space="preserve">observed </w:t>
      </w:r>
      <w:r w:rsidRPr="007D2588">
        <w:rPr>
          <w:lang w:val="en-AU"/>
        </w:rPr>
        <w:t>that work was an aspect of human dignity with great personal and social importance to individuals</w:t>
      </w:r>
      <w:r>
        <w:rPr>
          <w:lang w:val="en-AU"/>
        </w:rPr>
        <w:t>. His Honour also noted</w:t>
      </w:r>
      <w:r w:rsidRPr="007355F2">
        <w:rPr>
          <w:lang w:val="en-AU"/>
        </w:rPr>
        <w:t xml:space="preserve"> that employment restrictions, such as those which prevent a person from being able to gain employment because of a criminal record, </w:t>
      </w:r>
      <w:r>
        <w:rPr>
          <w:lang w:val="en-AU"/>
        </w:rPr>
        <w:t>‘</w:t>
      </w:r>
      <w:r w:rsidRPr="007355F2">
        <w:rPr>
          <w:lang w:val="en-AU"/>
        </w:rPr>
        <w:t xml:space="preserve">impact sufficiently on the personal relationships of the individual and otherwise upon his or her </w:t>
      </w:r>
      <w:r w:rsidRPr="007D2588">
        <w:rPr>
          <w:lang w:val="en-AU"/>
        </w:rPr>
        <w:t>capacity to experience a private life.</w:t>
      </w:r>
      <w:r>
        <w:rPr>
          <w:lang w:val="en-AU"/>
        </w:rPr>
        <w:t>’</w:t>
      </w:r>
      <w:r w:rsidRPr="007D2588">
        <w:rPr>
          <w:vertAlign w:val="superscript"/>
          <w:lang w:val="en-AU"/>
        </w:rPr>
        <w:footnoteReference w:id="37"/>
      </w:r>
    </w:p>
    <w:p w14:paraId="4E336E91" w14:textId="19F1B210" w:rsidR="00DB7A37" w:rsidRPr="00B67435" w:rsidRDefault="00347208">
      <w:pPr>
        <w:pStyle w:val="Heading2"/>
      </w:pPr>
      <w:bookmarkStart w:id="35" w:name="_Toc14181865"/>
      <w:r>
        <w:t>R</w:t>
      </w:r>
      <w:r w:rsidR="00DB7A37" w:rsidRPr="00886A9F">
        <w:t>eform to the E</w:t>
      </w:r>
      <w:r w:rsidR="00753137">
        <w:t>qual Opportunity</w:t>
      </w:r>
      <w:r w:rsidR="00DB7A37" w:rsidRPr="00886A9F">
        <w:t xml:space="preserve"> Act</w:t>
      </w:r>
      <w:bookmarkEnd w:id="35"/>
      <w:r w:rsidR="00DB7A37" w:rsidRPr="00886A9F">
        <w:t xml:space="preserve"> </w:t>
      </w:r>
    </w:p>
    <w:p w14:paraId="57F2E249" w14:textId="0A6971C0" w:rsidR="00B82E67" w:rsidRDefault="00B82E67">
      <w:pPr>
        <w:pStyle w:val="VEOHRCBodytext"/>
        <w:jc w:val="both"/>
        <w:rPr>
          <w:lang w:val="en-AU"/>
        </w:rPr>
      </w:pPr>
      <w:r>
        <w:rPr>
          <w:lang w:val="en-AU"/>
        </w:rPr>
        <w:t>Proposals</w:t>
      </w:r>
      <w:r w:rsidR="008B3EEE">
        <w:rPr>
          <w:lang w:val="en-AU"/>
        </w:rPr>
        <w:t xml:space="preserve"> </w:t>
      </w:r>
      <w:r>
        <w:rPr>
          <w:lang w:val="en-AU"/>
        </w:rPr>
        <w:t xml:space="preserve">for reform include </w:t>
      </w:r>
      <w:r w:rsidR="00D73F84">
        <w:rPr>
          <w:lang w:val="en-AU"/>
        </w:rPr>
        <w:t>the following attributes</w:t>
      </w:r>
      <w:r>
        <w:rPr>
          <w:lang w:val="en-AU"/>
        </w:rPr>
        <w:t xml:space="preserve"> </w:t>
      </w:r>
      <w:r w:rsidR="00D73F84">
        <w:rPr>
          <w:lang w:val="en-AU"/>
        </w:rPr>
        <w:t>under</w:t>
      </w:r>
      <w:r>
        <w:rPr>
          <w:lang w:val="en-AU"/>
        </w:rPr>
        <w:t xml:space="preserve"> anti-discrimination law:</w:t>
      </w:r>
    </w:p>
    <w:p w14:paraId="12ECFAB5" w14:textId="0A3D8CAC" w:rsidR="00B82E67" w:rsidRDefault="00D73F84">
      <w:pPr>
        <w:pStyle w:val="ListBullet"/>
        <w:keepNext/>
      </w:pPr>
      <w:r>
        <w:t>s</w:t>
      </w:r>
      <w:r w:rsidR="00B82E67">
        <w:t>pent conviction; or</w:t>
      </w:r>
    </w:p>
    <w:p w14:paraId="4F73066D" w14:textId="764A659E" w:rsidR="00B82E67" w:rsidRDefault="00D73F84">
      <w:pPr>
        <w:pStyle w:val="ListBullet"/>
        <w:keepNext/>
      </w:pPr>
      <w:r>
        <w:t>c</w:t>
      </w:r>
      <w:r w:rsidR="00B82E67">
        <w:t>riminal record;</w:t>
      </w:r>
      <w:r w:rsidR="00403A3C">
        <w:rPr>
          <w:rStyle w:val="FootnoteReference"/>
        </w:rPr>
        <w:footnoteReference w:id="38"/>
      </w:r>
      <w:r w:rsidR="00B82E67">
        <w:t xml:space="preserve"> or</w:t>
      </w:r>
    </w:p>
    <w:p w14:paraId="48D4442A" w14:textId="1F295503" w:rsidR="00B82E67" w:rsidRDefault="00D73F84">
      <w:pPr>
        <w:pStyle w:val="ListBullet"/>
        <w:keepNext/>
      </w:pPr>
      <w:r>
        <w:t>i</w:t>
      </w:r>
      <w:r w:rsidR="00B82E67">
        <w:t>rrelevant criminal record.</w:t>
      </w:r>
    </w:p>
    <w:p w14:paraId="7990AD56" w14:textId="68D8A138" w:rsidR="0025462C" w:rsidRDefault="00475C71">
      <w:pPr>
        <w:pStyle w:val="VEOHRCBodytext"/>
        <w:jc w:val="both"/>
        <w:rPr>
          <w:lang w:val="en-AU"/>
        </w:rPr>
      </w:pPr>
      <w:r>
        <w:rPr>
          <w:lang w:val="en-AU"/>
        </w:rPr>
        <w:t xml:space="preserve">In the Commission’s view, </w:t>
      </w:r>
      <w:r w:rsidR="00B82E67">
        <w:rPr>
          <w:lang w:val="en-AU"/>
        </w:rPr>
        <w:t>it is</w:t>
      </w:r>
      <w:r>
        <w:rPr>
          <w:lang w:val="en-AU"/>
        </w:rPr>
        <w:t xml:space="preserve"> preferable</w:t>
      </w:r>
      <w:r w:rsidR="00B82E67">
        <w:rPr>
          <w:lang w:val="en-AU"/>
        </w:rPr>
        <w:t xml:space="preserve"> for the EO Act to protect against </w:t>
      </w:r>
      <w:r w:rsidR="00403A3C">
        <w:rPr>
          <w:lang w:val="en-AU"/>
        </w:rPr>
        <w:t xml:space="preserve">discrimination </w:t>
      </w:r>
      <w:proofErr w:type="gramStart"/>
      <w:r w:rsidR="00403A3C">
        <w:rPr>
          <w:lang w:val="en-AU"/>
        </w:rPr>
        <w:t>on the basis of</w:t>
      </w:r>
      <w:proofErr w:type="gramEnd"/>
      <w:r w:rsidR="00403A3C">
        <w:rPr>
          <w:lang w:val="en-AU"/>
        </w:rPr>
        <w:t xml:space="preserve"> </w:t>
      </w:r>
      <w:r w:rsidR="008B3EEE">
        <w:rPr>
          <w:lang w:val="en-AU"/>
        </w:rPr>
        <w:t>‘</w:t>
      </w:r>
      <w:r w:rsidR="00B82E67" w:rsidRPr="0025462C">
        <w:rPr>
          <w:i/>
          <w:lang w:val="en-AU"/>
        </w:rPr>
        <w:t>irrelevant criminal record</w:t>
      </w:r>
      <w:r w:rsidR="008B3EEE" w:rsidRPr="000C5222">
        <w:rPr>
          <w:lang w:val="en-AU"/>
        </w:rPr>
        <w:t>’</w:t>
      </w:r>
      <w:r w:rsidR="008B3EEE">
        <w:rPr>
          <w:lang w:val="en-AU"/>
        </w:rPr>
        <w:t>.</w:t>
      </w:r>
      <w:r w:rsidR="00BE06D8">
        <w:rPr>
          <w:lang w:val="en-AU"/>
        </w:rPr>
        <w:t xml:space="preserve"> </w:t>
      </w:r>
      <w:r w:rsidR="0025462C">
        <w:rPr>
          <w:lang w:val="en-AU"/>
        </w:rPr>
        <w:t>As is the case in the ACT</w:t>
      </w:r>
      <w:r w:rsidR="00DB7A37">
        <w:rPr>
          <w:lang w:val="en-AU"/>
        </w:rPr>
        <w:t xml:space="preserve"> and</w:t>
      </w:r>
      <w:r w:rsidR="0025462C">
        <w:rPr>
          <w:lang w:val="en-AU"/>
        </w:rPr>
        <w:t xml:space="preserve"> Northern Territory, an ‘irrelevant criminal record’ should be defined to include convictions that are ‘spent’.</w:t>
      </w:r>
      <w:r w:rsidR="00A344A7">
        <w:rPr>
          <w:rStyle w:val="FootnoteReference"/>
          <w:lang w:val="en-AU"/>
        </w:rPr>
        <w:footnoteReference w:id="39"/>
      </w:r>
      <w:r w:rsidR="0025462C">
        <w:rPr>
          <w:lang w:val="en-AU"/>
        </w:rPr>
        <w:t xml:space="preserve"> </w:t>
      </w:r>
    </w:p>
    <w:p w14:paraId="4F6FE018" w14:textId="1C90C98B" w:rsidR="0025462C" w:rsidRDefault="0025462C">
      <w:pPr>
        <w:pStyle w:val="VEOHRCBodytext"/>
        <w:jc w:val="both"/>
        <w:rPr>
          <w:lang w:val="en-AU"/>
        </w:rPr>
      </w:pPr>
      <w:r>
        <w:rPr>
          <w:rFonts w:cs="Arial"/>
        </w:rPr>
        <w:t xml:space="preserve">Providing protection from discrimination could occur most efficiently by amending the EO Act to add a new protected attribute under section 6. </w:t>
      </w:r>
    </w:p>
    <w:p w14:paraId="0CB0B046" w14:textId="794B2164" w:rsidR="000C5222" w:rsidRDefault="00403A3C" w:rsidP="004A6954">
      <w:pPr>
        <w:pStyle w:val="VEOHRCBodytext"/>
        <w:jc w:val="both"/>
        <w:rPr>
          <w:lang w:val="en-AU"/>
        </w:rPr>
      </w:pPr>
      <w:r>
        <w:rPr>
          <w:lang w:val="en-AU"/>
        </w:rPr>
        <w:t xml:space="preserve">Importantly, prohibiting discrimination based on an </w:t>
      </w:r>
      <w:r w:rsidRPr="006649AD">
        <w:rPr>
          <w:lang w:val="en-AU"/>
        </w:rPr>
        <w:t>irrelevant</w:t>
      </w:r>
      <w:r w:rsidRPr="00D85143">
        <w:rPr>
          <w:lang w:val="en-AU"/>
        </w:rPr>
        <w:t xml:space="preserve"> </w:t>
      </w:r>
      <w:r>
        <w:rPr>
          <w:lang w:val="en-AU"/>
        </w:rPr>
        <w:t>criminal record recognises that there may be limited situations where a person’s criminal record is relevant</w:t>
      </w:r>
      <w:r w:rsidR="00B67435">
        <w:rPr>
          <w:lang w:val="en-AU"/>
        </w:rPr>
        <w:t xml:space="preserve"> to conduct that is covered by the EO Act</w:t>
      </w:r>
      <w:r w:rsidR="0025462C">
        <w:rPr>
          <w:lang w:val="en-AU"/>
        </w:rPr>
        <w:t>.</w:t>
      </w:r>
      <w:r w:rsidR="007B2DBB">
        <w:rPr>
          <w:lang w:val="en-AU"/>
        </w:rPr>
        <w:t xml:space="preserve"> </w:t>
      </w:r>
      <w:r>
        <w:rPr>
          <w:lang w:val="en-AU"/>
        </w:rPr>
        <w:t>However, the use of the term ‘irrelevant’ means there must be some nexus, or relevance, of any criminal record to the treatment.</w:t>
      </w:r>
      <w:r w:rsidR="00DB7A37">
        <w:rPr>
          <w:lang w:val="en-AU"/>
        </w:rPr>
        <w:t xml:space="preserve"> For instance, it will be necessary to consider how the criminal record is directly relevant to the situation, whether that be employment, provision of services, or accommodation.</w:t>
      </w:r>
      <w:r w:rsidR="008340C2">
        <w:rPr>
          <w:lang w:val="en-AU"/>
        </w:rPr>
        <w:t xml:space="preserve"> </w:t>
      </w:r>
      <w:r w:rsidR="008B3EEE">
        <w:rPr>
          <w:lang w:val="en-AU"/>
        </w:rPr>
        <w:t xml:space="preserve">The Commission considers it preferable to allow the broader definition of ‘irrelevant’ rather than ‘spent’ to ensure that criminal record discrimination is not only limited to discrimination based on an ‘old’ record, but also discrimination </w:t>
      </w:r>
      <w:proofErr w:type="gramStart"/>
      <w:r w:rsidR="008B3EEE">
        <w:rPr>
          <w:lang w:val="en-AU"/>
        </w:rPr>
        <w:t>on the basis of</w:t>
      </w:r>
      <w:proofErr w:type="gramEnd"/>
      <w:r w:rsidR="008B3EEE">
        <w:rPr>
          <w:lang w:val="en-AU"/>
        </w:rPr>
        <w:t xml:space="preserve"> a record which</w:t>
      </w:r>
      <w:r w:rsidR="005F3C83">
        <w:rPr>
          <w:lang w:val="en-AU"/>
        </w:rPr>
        <w:t xml:space="preserve"> does</w:t>
      </w:r>
      <w:r w:rsidR="008B3EEE">
        <w:rPr>
          <w:lang w:val="en-AU"/>
        </w:rPr>
        <w:t xml:space="preserve"> not preclude a person from being able to </w:t>
      </w:r>
      <w:r w:rsidR="00D73F84">
        <w:rPr>
          <w:lang w:val="en-AU"/>
        </w:rPr>
        <w:t>substantively</w:t>
      </w:r>
      <w:r w:rsidR="008B3EEE">
        <w:rPr>
          <w:lang w:val="en-AU"/>
        </w:rPr>
        <w:t xml:space="preserve"> meet the needs of the position. </w:t>
      </w:r>
      <w:r w:rsidR="00475C71">
        <w:rPr>
          <w:lang w:val="en-AU"/>
        </w:rPr>
        <w:t xml:space="preserve">For example, if the EO Act was amended to only include </w:t>
      </w:r>
      <w:r w:rsidR="00475C71">
        <w:rPr>
          <w:lang w:val="en-AU"/>
        </w:rPr>
        <w:lastRenderedPageBreak/>
        <w:t xml:space="preserve">a ‘spent’ criminal record, the circumstance of </w:t>
      </w:r>
      <w:r w:rsidR="00475C71" w:rsidRPr="00B82E67">
        <w:rPr>
          <w:i/>
          <w:lang w:val="en-AU"/>
        </w:rPr>
        <w:t>BE</w:t>
      </w:r>
      <w:r w:rsidR="00475C71">
        <w:rPr>
          <w:lang w:val="en-AU"/>
        </w:rPr>
        <w:t xml:space="preserve"> in the AHRC determination discussed above, would not be protect</w:t>
      </w:r>
      <w:r w:rsidR="00B82E67">
        <w:rPr>
          <w:lang w:val="en-AU"/>
        </w:rPr>
        <w:t xml:space="preserve">ed from unfavourable treatment. While </w:t>
      </w:r>
      <w:r w:rsidR="00B82E67">
        <w:rPr>
          <w:i/>
          <w:lang w:val="en-AU"/>
        </w:rPr>
        <w:t>BE</w:t>
      </w:r>
      <w:r w:rsidR="00B82E67">
        <w:rPr>
          <w:lang w:val="en-AU"/>
        </w:rPr>
        <w:t xml:space="preserve">’s </w:t>
      </w:r>
      <w:r w:rsidR="00475C71">
        <w:rPr>
          <w:lang w:val="en-AU"/>
        </w:rPr>
        <w:t xml:space="preserve">criminal record was considered </w:t>
      </w:r>
      <w:r w:rsidR="00B82E67">
        <w:rPr>
          <w:lang w:val="en-AU"/>
        </w:rPr>
        <w:t xml:space="preserve">by the AHRC to be </w:t>
      </w:r>
      <w:r w:rsidR="00475C71">
        <w:rPr>
          <w:lang w:val="en-AU"/>
        </w:rPr>
        <w:t>‘irrelevant’</w:t>
      </w:r>
      <w:r w:rsidR="00B82E67">
        <w:rPr>
          <w:lang w:val="en-AU"/>
        </w:rPr>
        <w:t xml:space="preserve"> to the role he was applying for,</w:t>
      </w:r>
      <w:r w:rsidR="00475C71">
        <w:rPr>
          <w:lang w:val="en-AU"/>
        </w:rPr>
        <w:t xml:space="preserve"> the offending took place only 8 years prior</w:t>
      </w:r>
      <w:r w:rsidR="00B82E67">
        <w:rPr>
          <w:lang w:val="en-AU"/>
        </w:rPr>
        <w:t xml:space="preserve">. Such a conviction would be </w:t>
      </w:r>
      <w:r w:rsidR="00475C71">
        <w:rPr>
          <w:lang w:val="en-AU"/>
        </w:rPr>
        <w:t>unlikely to be ‘spent’</w:t>
      </w:r>
      <w:r w:rsidR="00B82E67">
        <w:rPr>
          <w:lang w:val="en-AU"/>
        </w:rPr>
        <w:t xml:space="preserve"> under a spent conviction scheme</w:t>
      </w:r>
      <w:r w:rsidR="00475C71">
        <w:rPr>
          <w:lang w:val="en-AU"/>
        </w:rPr>
        <w:t>.</w:t>
      </w:r>
      <w:r w:rsidR="00475C71">
        <w:rPr>
          <w:rStyle w:val="FootnoteReference"/>
          <w:lang w:val="en-AU"/>
        </w:rPr>
        <w:footnoteReference w:id="40"/>
      </w:r>
      <w:r w:rsidR="00475C71">
        <w:rPr>
          <w:lang w:val="en-AU"/>
        </w:rPr>
        <w:t xml:space="preserve"> </w:t>
      </w:r>
    </w:p>
    <w:p w14:paraId="653B8333" w14:textId="691AF310" w:rsidR="000C5222" w:rsidRDefault="000C5222" w:rsidP="004A6954">
      <w:pPr>
        <w:pStyle w:val="VEOHRCBodytext"/>
        <w:jc w:val="both"/>
        <w:rPr>
          <w:lang w:val="en-AU"/>
        </w:rPr>
      </w:pPr>
      <w:r>
        <w:rPr>
          <w:lang w:val="en-AU"/>
        </w:rPr>
        <w:t xml:space="preserve">In the 2008 Review of the </w:t>
      </w:r>
      <w:r w:rsidRPr="008E3F83">
        <w:rPr>
          <w:i/>
          <w:lang w:val="en-AU"/>
        </w:rPr>
        <w:t>E</w:t>
      </w:r>
      <w:r w:rsidR="008E3F83" w:rsidRPr="008E3F83">
        <w:rPr>
          <w:i/>
          <w:lang w:val="en-AU"/>
        </w:rPr>
        <w:t xml:space="preserve">qual </w:t>
      </w:r>
      <w:r w:rsidRPr="008E3F83">
        <w:rPr>
          <w:i/>
          <w:lang w:val="en-AU"/>
        </w:rPr>
        <w:t>O</w:t>
      </w:r>
      <w:r w:rsidR="008E3F83" w:rsidRPr="008E3F83">
        <w:rPr>
          <w:i/>
          <w:lang w:val="en-AU"/>
        </w:rPr>
        <w:t xml:space="preserve">pportunity Act </w:t>
      </w:r>
      <w:r w:rsidRPr="008E3F83">
        <w:rPr>
          <w:i/>
          <w:lang w:val="en-AU"/>
        </w:rPr>
        <w:t>1995</w:t>
      </w:r>
      <w:r>
        <w:rPr>
          <w:lang w:val="en-AU"/>
        </w:rPr>
        <w:t xml:space="preserve">, </w:t>
      </w:r>
      <w:r w:rsidR="008E3F83">
        <w:rPr>
          <w:lang w:val="en-AU"/>
        </w:rPr>
        <w:t>“</w:t>
      </w:r>
      <w:r>
        <w:rPr>
          <w:lang w:val="en-AU"/>
        </w:rPr>
        <w:t>of the submissions that commented on the issue, there was overwhelming support for the introduction of irrelevant criminal record as a new attribute in the Act</w:t>
      </w:r>
      <w:r w:rsidR="008E3F83">
        <w:rPr>
          <w:lang w:val="en-AU"/>
        </w:rPr>
        <w:t>”</w:t>
      </w:r>
      <w:r>
        <w:rPr>
          <w:lang w:val="en-AU"/>
        </w:rPr>
        <w:t>.</w:t>
      </w:r>
      <w:r>
        <w:rPr>
          <w:rStyle w:val="FootnoteReference"/>
          <w:lang w:val="en-AU"/>
        </w:rPr>
        <w:footnoteReference w:id="41"/>
      </w:r>
    </w:p>
    <w:p w14:paraId="6037FD68" w14:textId="6FC2947E" w:rsidR="008340C2" w:rsidRPr="00E07145" w:rsidRDefault="00475C71">
      <w:pPr>
        <w:pStyle w:val="VEOHRCBodytext"/>
        <w:jc w:val="both"/>
        <w:rPr>
          <w:lang w:val="en-AU"/>
        </w:rPr>
      </w:pPr>
      <w:r>
        <w:rPr>
          <w:rFonts w:cs="Arial"/>
        </w:rPr>
        <w:t>The addition of a protected attribute in these terms would ensure a right to</w:t>
      </w:r>
      <w:r w:rsidRPr="00DA76AF">
        <w:rPr>
          <w:rFonts w:cs="Arial"/>
        </w:rPr>
        <w:t xml:space="preserve"> make a formal complaint to the </w:t>
      </w:r>
      <w:r>
        <w:rPr>
          <w:rFonts w:cs="Arial"/>
        </w:rPr>
        <w:t xml:space="preserve">Commission </w:t>
      </w:r>
      <w:r w:rsidRPr="00DA76AF">
        <w:rPr>
          <w:rFonts w:cs="Arial"/>
        </w:rPr>
        <w:t xml:space="preserve">and have that dealt with in conciliation, or have their matter heard </w:t>
      </w:r>
      <w:r w:rsidR="00E3187E">
        <w:rPr>
          <w:rFonts w:cs="Arial"/>
        </w:rPr>
        <w:t>at the</w:t>
      </w:r>
      <w:r>
        <w:rPr>
          <w:rFonts w:cs="Arial"/>
        </w:rPr>
        <w:t xml:space="preserve"> </w:t>
      </w:r>
      <w:r w:rsidR="00403A3C">
        <w:rPr>
          <w:rFonts w:cs="Arial"/>
        </w:rPr>
        <w:t>V</w:t>
      </w:r>
      <w:r w:rsidR="00103E3F">
        <w:rPr>
          <w:rFonts w:cs="Arial"/>
        </w:rPr>
        <w:t xml:space="preserve">ictorian </w:t>
      </w:r>
      <w:r w:rsidR="00403A3C">
        <w:rPr>
          <w:rFonts w:cs="Arial"/>
        </w:rPr>
        <w:t>C</w:t>
      </w:r>
      <w:r w:rsidR="00103E3F">
        <w:rPr>
          <w:rFonts w:cs="Arial"/>
        </w:rPr>
        <w:t xml:space="preserve">ivil and </w:t>
      </w:r>
      <w:r w:rsidR="00403A3C">
        <w:rPr>
          <w:rFonts w:cs="Arial"/>
        </w:rPr>
        <w:t>A</w:t>
      </w:r>
      <w:r w:rsidR="00103E3F">
        <w:rPr>
          <w:rFonts w:cs="Arial"/>
        </w:rPr>
        <w:t xml:space="preserve">dministrative </w:t>
      </w:r>
      <w:r w:rsidR="00403A3C">
        <w:rPr>
          <w:rFonts w:cs="Arial"/>
        </w:rPr>
        <w:t>T</w:t>
      </w:r>
      <w:r w:rsidR="00103E3F">
        <w:rPr>
          <w:rFonts w:cs="Arial"/>
        </w:rPr>
        <w:t>ribunal</w:t>
      </w:r>
      <w:r w:rsidRPr="00DA76AF">
        <w:rPr>
          <w:rFonts w:cs="Arial"/>
        </w:rPr>
        <w:t xml:space="preserve">. </w:t>
      </w:r>
      <w:r>
        <w:rPr>
          <w:lang w:val="en-AU"/>
        </w:rPr>
        <w:t xml:space="preserve">Introducing legislative reform to the EO Act </w:t>
      </w:r>
      <w:r w:rsidRPr="003F548B">
        <w:rPr>
          <w:lang w:val="en-AU"/>
        </w:rPr>
        <w:t xml:space="preserve">would </w:t>
      </w:r>
      <w:r>
        <w:rPr>
          <w:lang w:val="en-AU"/>
        </w:rPr>
        <w:t xml:space="preserve">also </w:t>
      </w:r>
      <w:r w:rsidRPr="003F548B">
        <w:rPr>
          <w:lang w:val="en-AU"/>
        </w:rPr>
        <w:t xml:space="preserve">reduce the confusion in the </w:t>
      </w:r>
      <w:r w:rsidRPr="00D45BE6">
        <w:rPr>
          <w:rFonts w:cs="Arial"/>
        </w:rPr>
        <w:t>community</w:t>
      </w:r>
      <w:r w:rsidRPr="003F548B">
        <w:rPr>
          <w:lang w:val="en-AU"/>
        </w:rPr>
        <w:t xml:space="preserve"> and </w:t>
      </w:r>
      <w:r>
        <w:rPr>
          <w:lang w:val="en-AU"/>
        </w:rPr>
        <w:t xml:space="preserve">could </w:t>
      </w:r>
      <w:r w:rsidRPr="003F548B">
        <w:rPr>
          <w:lang w:val="en-AU"/>
        </w:rPr>
        <w:t>ensure that Victoria is consistent with other states and territories which have already introduced spent conviction schemes</w:t>
      </w:r>
      <w:r w:rsidR="00403A3C">
        <w:rPr>
          <w:lang w:val="en-AU"/>
        </w:rPr>
        <w:t xml:space="preserve"> and provide protection from discrimination </w:t>
      </w:r>
      <w:proofErr w:type="gramStart"/>
      <w:r w:rsidR="00403A3C">
        <w:rPr>
          <w:lang w:val="en-AU"/>
        </w:rPr>
        <w:t>on the basis of</w:t>
      </w:r>
      <w:proofErr w:type="gramEnd"/>
      <w:r w:rsidR="00403A3C">
        <w:rPr>
          <w:lang w:val="en-AU"/>
        </w:rPr>
        <w:t xml:space="preserve"> criminal record</w:t>
      </w:r>
      <w:r w:rsidRPr="003F548B">
        <w:rPr>
          <w:lang w:val="en-AU"/>
        </w:rPr>
        <w:t>.</w:t>
      </w:r>
      <w:r>
        <w:rPr>
          <w:lang w:val="en-AU"/>
        </w:rPr>
        <w:t xml:space="preserve"> </w:t>
      </w:r>
    </w:p>
    <w:tbl>
      <w:tblPr>
        <w:tblStyle w:val="CustomTablerecommendationsbox"/>
        <w:tblW w:w="0" w:type="auto"/>
        <w:tblLook w:val="04A0" w:firstRow="1" w:lastRow="0" w:firstColumn="1" w:lastColumn="0" w:noHBand="0" w:noVBand="1"/>
      </w:tblPr>
      <w:tblGrid>
        <w:gridCol w:w="9061"/>
      </w:tblGrid>
      <w:tr w:rsidR="00E07145" w14:paraId="6B4ECDE5" w14:textId="77777777" w:rsidTr="00D40314">
        <w:tc>
          <w:tcPr>
            <w:tcW w:w="9061" w:type="dxa"/>
          </w:tcPr>
          <w:p w14:paraId="511CFEF4" w14:textId="77777777" w:rsidR="00E07145" w:rsidRDefault="00E07145">
            <w:pPr>
              <w:pStyle w:val="RecommendationList"/>
              <w:keepNext/>
              <w:numPr>
                <w:ilvl w:val="1"/>
                <w:numId w:val="28"/>
              </w:numPr>
            </w:pPr>
            <w:bookmarkStart w:id="36" w:name="_Hlk14125138"/>
          </w:p>
          <w:p w14:paraId="606DB1E7" w14:textId="45036946" w:rsidR="004D7CF3" w:rsidRDefault="00E07145">
            <w:pPr>
              <w:pStyle w:val="BodyText"/>
              <w:keepNext/>
            </w:pPr>
            <w:r w:rsidRPr="00BE709A">
              <w:t xml:space="preserve">The </w:t>
            </w:r>
            <w:r w:rsidRPr="00BE709A">
              <w:rPr>
                <w:i/>
              </w:rPr>
              <w:t>Equal Opportunity Act 2010</w:t>
            </w:r>
            <w:r w:rsidRPr="00BE709A">
              <w:t xml:space="preserve"> (Vic) should be amended to prohibit discrimination </w:t>
            </w:r>
            <w:proofErr w:type="gramStart"/>
            <w:r w:rsidRPr="00BE709A">
              <w:t>on the basis of</w:t>
            </w:r>
            <w:proofErr w:type="gramEnd"/>
            <w:r w:rsidRPr="00BE709A">
              <w:t xml:space="preserve"> an irrelevant criminal record</w:t>
            </w:r>
            <w:r w:rsidR="004D7CF3">
              <w:t>.</w:t>
            </w:r>
          </w:p>
        </w:tc>
      </w:tr>
    </w:tbl>
    <w:bookmarkEnd w:id="36"/>
    <w:p w14:paraId="7924A91E" w14:textId="7FE2EFCB" w:rsidR="00DB7A37" w:rsidRDefault="00DB7A37" w:rsidP="000A6954">
      <w:pPr>
        <w:pStyle w:val="VEOHRCBodytext"/>
        <w:jc w:val="both"/>
        <w:rPr>
          <w:lang w:val="en-AU"/>
        </w:rPr>
      </w:pPr>
      <w:r>
        <w:rPr>
          <w:lang w:val="en-AU"/>
        </w:rPr>
        <w:t>The introduction of an attribute of ‘irrelevant criminal record’ should be supported by guidelines for the community and with specific guidance for employers.</w:t>
      </w:r>
      <w:r>
        <w:rPr>
          <w:rStyle w:val="FootnoteReference"/>
          <w:rFonts w:cs="Arial"/>
        </w:rPr>
        <w:footnoteReference w:id="42"/>
      </w:r>
      <w:r>
        <w:rPr>
          <w:rFonts w:cs="Arial"/>
        </w:rPr>
        <w:t xml:space="preserve"> </w:t>
      </w:r>
      <w:r>
        <w:rPr>
          <w:lang w:val="en-AU"/>
        </w:rPr>
        <w:t xml:space="preserve"> </w:t>
      </w:r>
      <w:r w:rsidR="00073826">
        <w:rPr>
          <w:lang w:val="en-AU"/>
        </w:rPr>
        <w:t>The Commission has the power to issue practice guidelines under the EO Act.</w:t>
      </w:r>
      <w:r w:rsidR="00073826">
        <w:rPr>
          <w:rStyle w:val="FootnoteReference"/>
          <w:lang w:val="en-AU"/>
        </w:rPr>
        <w:footnoteReference w:id="43"/>
      </w:r>
      <w:r w:rsidR="00073826">
        <w:rPr>
          <w:lang w:val="en-AU"/>
        </w:rPr>
        <w:t xml:space="preserve"> </w:t>
      </w:r>
      <w:r>
        <w:rPr>
          <w:lang w:val="en-AU"/>
        </w:rPr>
        <w:t>Such guidelines could address:</w:t>
      </w:r>
    </w:p>
    <w:p w14:paraId="0E78D0FF" w14:textId="16C79FE9" w:rsidR="00DB7A37" w:rsidRDefault="00D73F84">
      <w:pPr>
        <w:pStyle w:val="ListBullet"/>
        <w:keepNext/>
      </w:pPr>
      <w:r>
        <w:t>t</w:t>
      </w:r>
      <w:r w:rsidR="00DB7A37">
        <w:t>he definition of terms such as ‘criminal record’</w:t>
      </w:r>
    </w:p>
    <w:p w14:paraId="4BF68C18" w14:textId="034E641F" w:rsidR="00DB7A37" w:rsidRDefault="00D73F84">
      <w:pPr>
        <w:pStyle w:val="ListBullet"/>
        <w:keepNext/>
      </w:pPr>
      <w:r>
        <w:t>i</w:t>
      </w:r>
      <w:r w:rsidR="00DB7A37">
        <w:t>nclusion of a ‘spent conviction’ as an irrelevant criminal record</w:t>
      </w:r>
      <w:r w:rsidR="00DB7A37">
        <w:rPr>
          <w:rStyle w:val="FootnoteReference"/>
        </w:rPr>
        <w:footnoteReference w:id="44"/>
      </w:r>
    </w:p>
    <w:p w14:paraId="4C695D2B" w14:textId="7163AEC2" w:rsidR="00DB7A37" w:rsidRDefault="00D73F84">
      <w:pPr>
        <w:pStyle w:val="ListBullet"/>
        <w:keepNext/>
      </w:pPr>
      <w:r>
        <w:t>p</w:t>
      </w:r>
      <w:r w:rsidR="00DB7A37">
        <w:t xml:space="preserve">rocesses for determining if a criminal record is relevant in circumstances such as employment, accommodation and the provision of services. </w:t>
      </w:r>
    </w:p>
    <w:p w14:paraId="7AEA6536" w14:textId="18343CD8" w:rsidR="00DB7A37" w:rsidRDefault="00DB7A37" w:rsidP="00753137">
      <w:pPr>
        <w:pStyle w:val="ListBullet"/>
        <w:numPr>
          <w:ilvl w:val="0"/>
          <w:numId w:val="0"/>
        </w:numPr>
      </w:pPr>
      <w:r>
        <w:t>The enquiries received by the Commission above demonstrate that there is confusion in the community about the appropriate release of, and use of, criminal records information.  These matters could also be addressed in guidelines, along with the relationship of discrimination to lawful information release processes.</w:t>
      </w:r>
    </w:p>
    <w:tbl>
      <w:tblPr>
        <w:tblStyle w:val="CustomTablerecommendationsbox"/>
        <w:tblW w:w="0" w:type="auto"/>
        <w:tblLook w:val="04A0" w:firstRow="1" w:lastRow="0" w:firstColumn="1" w:lastColumn="0" w:noHBand="0" w:noVBand="1"/>
      </w:tblPr>
      <w:tblGrid>
        <w:gridCol w:w="9061"/>
      </w:tblGrid>
      <w:tr w:rsidR="00DB7A37" w14:paraId="0F5ABBE1" w14:textId="77777777" w:rsidTr="00073826">
        <w:tc>
          <w:tcPr>
            <w:tcW w:w="9061" w:type="dxa"/>
          </w:tcPr>
          <w:p w14:paraId="3994139A" w14:textId="77777777" w:rsidR="00DB7A37" w:rsidRDefault="00DB7A37" w:rsidP="00753137">
            <w:pPr>
              <w:pStyle w:val="RecommendationList"/>
            </w:pPr>
          </w:p>
          <w:p w14:paraId="38B4E8FB" w14:textId="32065FC1" w:rsidR="00DB7A37" w:rsidRDefault="00DB7A37" w:rsidP="00753137">
            <w:pPr>
              <w:pStyle w:val="BodyText"/>
            </w:pPr>
            <w:r>
              <w:t xml:space="preserve">Any scheme or legislative amendment should be accompanied by the development of practical </w:t>
            </w:r>
            <w:r w:rsidR="00D73F84">
              <w:t>g</w:t>
            </w:r>
            <w:r>
              <w:t>uidelines for community, and specifically for employers, to clarify rights and responsibilities regarding the use of criminal records information.</w:t>
            </w:r>
          </w:p>
        </w:tc>
      </w:tr>
    </w:tbl>
    <w:p w14:paraId="0F65829A" w14:textId="77777777" w:rsidR="000A6954" w:rsidRDefault="000A6954" w:rsidP="00753137">
      <w:pPr>
        <w:pStyle w:val="BodyText"/>
      </w:pPr>
    </w:p>
    <w:p w14:paraId="30DBA574" w14:textId="5BDA94D9" w:rsidR="000A6954" w:rsidRDefault="000A6954">
      <w:pPr>
        <w:pStyle w:val="BodyText"/>
        <w:keepNext/>
      </w:pPr>
      <w:r>
        <w:rPr>
          <w:noProof/>
          <w:lang w:eastAsia="en-GB"/>
        </w:rPr>
        <w:drawing>
          <wp:inline distT="0" distB="0" distL="0" distR="0" wp14:anchorId="71DDCC66" wp14:editId="64F763E8">
            <wp:extent cx="2156460" cy="586740"/>
            <wp:effectExtent l="0" t="0" r="0" b="3810"/>
            <wp:docPr id="1" name="Picture 1" descr="HRC__logo_B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RC__logo_BW"/>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156460" cy="586740"/>
                    </a:xfrm>
                    <a:prstGeom prst="rect">
                      <a:avLst/>
                    </a:prstGeom>
                    <a:noFill/>
                    <a:ln>
                      <a:noFill/>
                    </a:ln>
                  </pic:spPr>
                </pic:pic>
              </a:graphicData>
            </a:graphic>
          </wp:inline>
        </w:drawing>
      </w:r>
    </w:p>
    <w:p w14:paraId="7567251C" w14:textId="77777777" w:rsidR="000A6954" w:rsidRDefault="000A6954">
      <w:pPr>
        <w:pStyle w:val="BodyText"/>
        <w:keepNext/>
      </w:pPr>
    </w:p>
    <w:p w14:paraId="11079870" w14:textId="77777777" w:rsidR="000A6954" w:rsidRDefault="000A6954">
      <w:pPr>
        <w:pStyle w:val="BodyText"/>
        <w:keepNext/>
      </w:pPr>
      <w:r w:rsidRPr="00902D12">
        <w:rPr>
          <w:rStyle w:val="Characterbold"/>
        </w:rPr>
        <w:t>Contact us</w:t>
      </w:r>
    </w:p>
    <w:p w14:paraId="6B6FBE80" w14:textId="087402FE" w:rsidR="000A6954" w:rsidRPr="001A3124" w:rsidRDefault="000A6954">
      <w:pPr>
        <w:pStyle w:val="BodyText"/>
        <w:keepNext/>
        <w:spacing w:before="120" w:line="260" w:lineRule="atLeast"/>
        <w:rPr>
          <w:color w:val="0000FF" w:themeColor="hyperlink"/>
          <w:u w:val="single"/>
        </w:rPr>
      </w:pPr>
      <w:r>
        <w:t xml:space="preserve">Enquiry Line </w:t>
      </w:r>
      <w:r>
        <w:tab/>
      </w:r>
      <w:r>
        <w:tab/>
      </w:r>
      <w:r>
        <w:tab/>
        <w:t>1300 292 153 or (03) 9032 3583</w:t>
      </w:r>
      <w:r>
        <w:br/>
        <w:t>Fax</w:t>
      </w:r>
      <w:r>
        <w:tab/>
      </w:r>
      <w:r>
        <w:tab/>
      </w:r>
      <w:r>
        <w:tab/>
      </w:r>
      <w:r>
        <w:tab/>
        <w:t>1300 891 858</w:t>
      </w:r>
      <w:r>
        <w:br/>
        <w:t>Hearing impaired (TTY)</w:t>
      </w:r>
      <w:r>
        <w:tab/>
        <w:t>1300 289 621</w:t>
      </w:r>
      <w:r>
        <w:br/>
        <w:t>Interpreters</w:t>
      </w:r>
      <w:r>
        <w:tab/>
      </w:r>
      <w:r>
        <w:tab/>
      </w:r>
      <w:r>
        <w:tab/>
        <w:t>1300 152 494</w:t>
      </w:r>
      <w:r>
        <w:br/>
        <w:t>Email</w:t>
      </w:r>
      <w:r>
        <w:tab/>
      </w:r>
      <w:r>
        <w:tab/>
      </w:r>
      <w:r>
        <w:tab/>
      </w:r>
      <w:r>
        <w:tab/>
      </w:r>
      <w:hyperlink r:id="rId15" w:history="1">
        <w:r w:rsidRPr="000B6AEF">
          <w:rPr>
            <w:rStyle w:val="Hyperlink"/>
          </w:rPr>
          <w:t>enquiries@veohrc.vic.gov.au</w:t>
        </w:r>
      </w:hyperlink>
      <w:r>
        <w:br/>
        <w:t>Website</w:t>
      </w:r>
      <w:r>
        <w:tab/>
      </w:r>
      <w:r>
        <w:tab/>
      </w:r>
      <w:r>
        <w:tab/>
      </w:r>
      <w:hyperlink r:id="rId16" w:history="1">
        <w:r w:rsidRPr="00AF44F2">
          <w:rPr>
            <w:rStyle w:val="Hyperlink"/>
          </w:rPr>
          <w:t>humanrightscommission.vic.gov.au</w:t>
        </w:r>
      </w:hyperlink>
      <w:r>
        <w:br/>
        <w:t>Follow us on Twitter</w:t>
      </w:r>
      <w:r>
        <w:tab/>
      </w:r>
      <w:r>
        <w:tab/>
      </w:r>
      <w:r w:rsidR="001A3124">
        <w:rPr>
          <w:rStyle w:val="Hyperlink"/>
        </w:rPr>
        <w:t>www.twitter.com/VEOHRC</w:t>
      </w:r>
      <w:r>
        <w:br/>
        <w:t>Find us at</w:t>
      </w:r>
      <w:r>
        <w:tab/>
      </w:r>
      <w:r>
        <w:tab/>
      </w:r>
      <w:r>
        <w:tab/>
      </w:r>
      <w:hyperlink r:id="rId17" w:history="1">
        <w:r w:rsidR="001A3124" w:rsidRPr="00323D28">
          <w:rPr>
            <w:rStyle w:val="Hyperlink"/>
          </w:rPr>
          <w:t>www.facebook.com/VEOHRC</w:t>
        </w:r>
      </w:hyperlink>
      <w:r w:rsidR="001A3124">
        <w:t xml:space="preserve"> </w:t>
      </w:r>
    </w:p>
    <w:p w14:paraId="38EC2F15" w14:textId="77777777" w:rsidR="000A6954" w:rsidRDefault="000A6954">
      <w:pPr>
        <w:pStyle w:val="BodyText"/>
        <w:keepNext/>
        <w:rPr>
          <w:lang w:eastAsia="en-GB"/>
        </w:rPr>
      </w:pPr>
    </w:p>
    <w:p w14:paraId="36FC8140" w14:textId="3BB1FB27" w:rsidR="00F43C28" w:rsidRDefault="000A6954" w:rsidP="0008324B">
      <w:pPr>
        <w:pStyle w:val="Heading1non-numbered"/>
      </w:pPr>
      <w:r w:rsidRPr="00F43C28">
        <w:t>humanrightscommission.vic.gov.au</w:t>
      </w:r>
    </w:p>
    <w:sectPr w:rsidR="00F43C28" w:rsidSect="00086633">
      <w:footerReference w:type="first" r:id="rId18"/>
      <w:endnotePr>
        <w:numFmt w:val="decimal"/>
      </w:endnotePr>
      <w:pgSz w:w="11907" w:h="16839" w:code="9"/>
      <w:pgMar w:top="1134" w:right="1418" w:bottom="1134" w:left="141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0BEAD2D" w14:textId="77777777" w:rsidR="00B23FE2" w:rsidRDefault="00B23FE2" w:rsidP="00E12845">
      <w:pPr>
        <w:spacing w:before="0" w:after="0"/>
      </w:pPr>
      <w:r>
        <w:separator/>
      </w:r>
    </w:p>
  </w:endnote>
  <w:endnote w:type="continuationSeparator" w:id="0">
    <w:p w14:paraId="6642A65A" w14:textId="77777777" w:rsidR="00B23FE2" w:rsidRDefault="00B23FE2" w:rsidP="00E12845">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605005534"/>
      <w:docPartObj>
        <w:docPartGallery w:val="Page Numbers (Bottom of Page)"/>
        <w:docPartUnique/>
      </w:docPartObj>
    </w:sdtPr>
    <w:sdtEndPr>
      <w:rPr>
        <w:noProof/>
      </w:rPr>
    </w:sdtEndPr>
    <w:sdtContent>
      <w:p w14:paraId="44C6CCED" w14:textId="6C3E5DBE" w:rsidR="007920E5" w:rsidRPr="00046354" w:rsidRDefault="007920E5" w:rsidP="00046354">
        <w:pPr>
          <w:pStyle w:val="Footer"/>
        </w:pPr>
        <w:r w:rsidRPr="00046354">
          <w:rPr>
            <w:rStyle w:val="Characteritalic"/>
          </w:rPr>
          <w:fldChar w:fldCharType="begin"/>
        </w:r>
        <w:r w:rsidRPr="00046354">
          <w:rPr>
            <w:rStyle w:val="Characteritalic"/>
          </w:rPr>
          <w:instrText xml:space="preserve"> STYLEREF  Title  \* MERGEFORMAT </w:instrText>
        </w:r>
        <w:r w:rsidRPr="00046354">
          <w:rPr>
            <w:rStyle w:val="Characteritalic"/>
          </w:rPr>
          <w:fldChar w:fldCharType="separate"/>
        </w:r>
        <w:r w:rsidR="005C5108">
          <w:rPr>
            <w:rStyle w:val="Characteritalic"/>
            <w:noProof/>
          </w:rPr>
          <w:t>Submission to the       Inquiry into a Legislated Spent Convictions Scheme</w:t>
        </w:r>
        <w:r w:rsidRPr="00046354">
          <w:rPr>
            <w:rStyle w:val="Characteritalic"/>
          </w:rPr>
          <w:fldChar w:fldCharType="end"/>
        </w:r>
        <w:r>
          <w:tab/>
        </w:r>
        <w:r w:rsidRPr="00982493">
          <w:t xml:space="preserve">Page </w:t>
        </w:r>
        <w:r w:rsidRPr="00982493">
          <w:fldChar w:fldCharType="begin"/>
        </w:r>
        <w:r w:rsidRPr="00982493">
          <w:instrText xml:space="preserve"> PAGE  \* Arabic  \* MERGEFORMAT </w:instrText>
        </w:r>
        <w:r w:rsidRPr="00982493">
          <w:fldChar w:fldCharType="separate"/>
        </w:r>
        <w:r>
          <w:t>3</w:t>
        </w:r>
        <w:r w:rsidRPr="00982493">
          <w:fldChar w:fldCharType="end"/>
        </w:r>
        <w:r w:rsidRPr="00982493">
          <w:t xml:space="preserve"> of </w:t>
        </w:r>
        <w:fldSimple w:instr=" NUMPAGES  \* Arabic  \* MERGEFORMAT ">
          <w:r>
            <w:t>5</w:t>
          </w:r>
        </w:fldSimple>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71B334" w14:textId="77777777" w:rsidR="007920E5" w:rsidRDefault="007920E5">
    <w:pPr>
      <w:pStyle w:val="Footer"/>
    </w:pPr>
    <w:r>
      <w:rPr>
        <w:noProof/>
      </w:rPr>
      <mc:AlternateContent>
        <mc:Choice Requires="wps">
          <w:drawing>
            <wp:anchor distT="0" distB="0" distL="114300" distR="114300" simplePos="0" relativeHeight="251661312" behindDoc="0" locked="0" layoutInCell="1" allowOverlap="1" wp14:anchorId="75E9A69C" wp14:editId="1FA9A523">
              <wp:simplePos x="0" y="0"/>
              <wp:positionH relativeFrom="column">
                <wp:posOffset>-92392</wp:posOffset>
              </wp:positionH>
              <wp:positionV relativeFrom="paragraph">
                <wp:posOffset>116205</wp:posOffset>
              </wp:positionV>
              <wp:extent cx="3752912" cy="357188"/>
              <wp:effectExtent l="0" t="0" r="0" b="5080"/>
              <wp:wrapNone/>
              <wp:docPr id="9" name="Text Box 9"/>
              <wp:cNvGraphicFramePr/>
              <a:graphic xmlns:a="http://schemas.openxmlformats.org/drawingml/2006/main">
                <a:graphicData uri="http://schemas.microsoft.com/office/word/2010/wordprocessingShape">
                  <wps:wsp>
                    <wps:cNvSpPr txBox="1"/>
                    <wps:spPr>
                      <a:xfrm>
                        <a:off x="0" y="0"/>
                        <a:ext cx="3752912" cy="357188"/>
                      </a:xfrm>
                      <a:prstGeom prst="rect">
                        <a:avLst/>
                      </a:prstGeom>
                      <a:noFill/>
                      <a:ln w="6350">
                        <a:noFill/>
                      </a:ln>
                    </wps:spPr>
                    <wps:txbx>
                      <w:txbxContent>
                        <w:p w14:paraId="1F029512" w14:textId="77777777" w:rsidR="007920E5" w:rsidRPr="00034D42" w:rsidRDefault="007920E5">
                          <w:pPr>
                            <w:rPr>
                              <w:color w:val="FFFFFF" w:themeColor="background1"/>
                            </w:rPr>
                          </w:pPr>
                          <w:r w:rsidRPr="00034D42">
                            <w:rPr>
                              <w:color w:val="FFFFFF" w:themeColor="background1"/>
                            </w:rPr>
                            <w:t>humanrightscommission.vic.gov.au</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75E9A69C" id="_x0000_t202" coordsize="21600,21600" o:spt="202" path="m,l,21600r21600,l21600,xe">
              <v:stroke joinstyle="miter"/>
              <v:path gradientshapeok="t" o:connecttype="rect"/>
            </v:shapetype>
            <v:shape id="Text Box 9" o:spid="_x0000_s1026" type="#_x0000_t202" style="position:absolute;margin-left:-7.25pt;margin-top:9.15pt;width:295.5pt;height:28.15pt;z-index:2516613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" filled="f" stroked="f" strokeweight=".5pt">
              <v:textbox>
                <w:txbxContent>
                  <w:p w14:paraId="1F029512" w14:textId="77777777" w:rsidR="007920E5" w:rsidRPr="00034D42" w:rsidRDefault="007920E5">
                    <w:pPr>
                      <w:rPr>
                        <w:color w:val="FFFFFF" w:themeColor="background1"/>
                      </w:rPr>
                    </w:pPr>
                    <w:r w:rsidRPr="00034D42">
                      <w:rPr>
                        <w:color w:val="FFFFFF" w:themeColor="background1"/>
                      </w:rPr>
                      <w:t>humanrightscommission.vic.gov.au</w:t>
                    </w:r>
                  </w:p>
                </w:txbxContent>
              </v:textbox>
            </v:shape>
          </w:pict>
        </mc:Fallback>
      </mc:AlternateContent>
    </w:r>
    <w:r>
      <w:rPr>
        <w:noProof/>
      </w:rPr>
      <mc:AlternateContent>
        <mc:Choice Requires="wps">
          <w:drawing>
            <wp:anchor distT="0" distB="0" distL="114300" distR="114300" simplePos="0" relativeHeight="251660288" behindDoc="0" locked="0" layoutInCell="1" allowOverlap="1" wp14:anchorId="4A30E9EF" wp14:editId="518B54D5">
              <wp:simplePos x="0" y="0"/>
              <wp:positionH relativeFrom="column">
                <wp:posOffset>-556699</wp:posOffset>
              </wp:positionH>
              <wp:positionV relativeFrom="paragraph">
                <wp:posOffset>65405</wp:posOffset>
              </wp:positionV>
              <wp:extent cx="7658100" cy="685800"/>
              <wp:effectExtent l="0" t="0" r="19050" b="19050"/>
              <wp:wrapNone/>
              <wp:docPr id="8"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58100" cy="685800"/>
                      </a:xfrm>
                      <a:prstGeom prst="rect">
                        <a:avLst/>
                      </a:prstGeom>
                      <a:solidFill>
                        <a:srgbClr val="454545"/>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3B20B10" id="Rectangle 8" o:spid="_x0000_s1026" style="position:absolute;margin-left:-43.85pt;margin-top:5.15pt;width:603pt;height:54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" fillcolor="#454545"/>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EF8B38" w14:textId="77777777" w:rsidR="007920E5" w:rsidRDefault="007920E5">
    <w:pPr>
      <w:pStyle w:val="Footer"/>
    </w:pPr>
    <w:r>
      <w:t>Footer</w:t>
    </w:r>
    <w:r>
      <w:tab/>
    </w:r>
    <w:r w:rsidRPr="00024595">
      <w:rPr>
        <w:rStyle w:val="PageNumber"/>
      </w:rPr>
      <w:fldChar w:fldCharType="begin"/>
    </w:r>
    <w:r w:rsidRPr="00024595">
      <w:rPr>
        <w:rStyle w:val="PageNumber"/>
      </w:rPr>
      <w:instrText xml:space="preserve"> PAGE   \* MERGEFORMAT </w:instrText>
    </w:r>
    <w:r w:rsidRPr="00024595">
      <w:rPr>
        <w:rStyle w:val="PageNumber"/>
      </w:rPr>
      <w:fldChar w:fldCharType="separate"/>
    </w:r>
    <w:r>
      <w:rPr>
        <w:rStyle w:val="PageNumber"/>
        <w:noProof/>
      </w:rPr>
      <w:t>1</w:t>
    </w:r>
    <w:r w:rsidRPr="00024595">
      <w:rPr>
        <w:rStyle w:val="PageNumber"/>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B76BF0" w14:textId="77777777" w:rsidR="007920E5" w:rsidRDefault="007920E5" w:rsidP="00FC728C">
    <w:pPr>
      <w:pStyle w:val="Footer"/>
    </w:pPr>
    <w:r>
      <w:t>Footer</w:t>
    </w:r>
    <w:r>
      <w:tab/>
    </w:r>
    <w:r w:rsidRPr="00024595">
      <w:rPr>
        <w:rStyle w:val="PageNumber"/>
      </w:rPr>
      <w:fldChar w:fldCharType="begin"/>
    </w:r>
    <w:r w:rsidRPr="00024595">
      <w:rPr>
        <w:rStyle w:val="PageNumber"/>
      </w:rPr>
      <w:instrText xml:space="preserve"> PAGE   \* MERGEFORMAT </w:instrText>
    </w:r>
    <w:r w:rsidRPr="00024595">
      <w:rPr>
        <w:rStyle w:val="PageNumber"/>
      </w:rPr>
      <w:fldChar w:fldCharType="separate"/>
    </w:r>
    <w:r>
      <w:rPr>
        <w:rStyle w:val="PageNumber"/>
        <w:noProof/>
      </w:rPr>
      <w:t>3</w:t>
    </w:r>
    <w:r w:rsidRPr="00024595">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FC5E5DC" w14:textId="77777777" w:rsidR="00B23FE2" w:rsidRDefault="00B23FE2" w:rsidP="00E12845">
      <w:pPr>
        <w:spacing w:before="0" w:after="0"/>
      </w:pPr>
      <w:r>
        <w:separator/>
      </w:r>
    </w:p>
  </w:footnote>
  <w:footnote w:type="continuationSeparator" w:id="0">
    <w:p w14:paraId="034336C1" w14:textId="77777777" w:rsidR="00B23FE2" w:rsidRDefault="00B23FE2" w:rsidP="00E12845">
      <w:pPr>
        <w:spacing w:before="0" w:after="0"/>
      </w:pPr>
      <w:r>
        <w:continuationSeparator/>
      </w:r>
    </w:p>
  </w:footnote>
  <w:footnote w:id="1">
    <w:p w14:paraId="1821C5C2" w14:textId="19A024C0" w:rsidR="007920E5" w:rsidRDefault="007920E5">
      <w:pPr>
        <w:pStyle w:val="FootnoteText"/>
      </w:pPr>
      <w:r>
        <w:rPr>
          <w:rStyle w:val="FootnoteReference"/>
        </w:rPr>
        <w:footnoteRef/>
      </w:r>
      <w:r>
        <w:t xml:space="preserve"> For instance, under a Working With Children Check process.</w:t>
      </w:r>
    </w:p>
  </w:footnote>
  <w:footnote w:id="2">
    <w:p w14:paraId="69425581" w14:textId="4BC90253" w:rsidR="007920E5" w:rsidRDefault="007920E5" w:rsidP="000A2063">
      <w:pPr>
        <w:pStyle w:val="FootnoteText"/>
      </w:pPr>
      <w:r>
        <w:rPr>
          <w:rStyle w:val="FootnoteReference"/>
        </w:rPr>
        <w:footnoteRef/>
      </w:r>
      <w:r>
        <w:t xml:space="preserve"> Parliament of Victoria, Legal and Social Issues Committee, Terms of Reference to Inquiry on a spent conviction scheme for Victoria, 2 May 2019 &lt;</w:t>
      </w:r>
      <w:hyperlink r:id="rId1" w:history="1">
        <w:r w:rsidRPr="00C62118">
          <w:rPr>
            <w:rStyle w:val="Hyperlink"/>
          </w:rPr>
          <w:t>https://www.parliament.vic.gov.au/lsic-lc/article/4215</w:t>
        </w:r>
      </w:hyperlink>
      <w:r>
        <w:t xml:space="preserve">&gt;. </w:t>
      </w:r>
    </w:p>
  </w:footnote>
  <w:footnote w:id="3">
    <w:p w14:paraId="30D725CF" w14:textId="4451EF96" w:rsidR="007920E5" w:rsidRDefault="007920E5" w:rsidP="000A2063">
      <w:pPr>
        <w:pStyle w:val="FootnoteText"/>
      </w:pPr>
      <w:r>
        <w:rPr>
          <w:rStyle w:val="FootnoteReference"/>
        </w:rPr>
        <w:footnoteRef/>
      </w:r>
      <w:r>
        <w:t xml:space="preserve"> See </w:t>
      </w:r>
      <w:r>
        <w:t>Woor-Dungin, Submission No 5 to Legal and Social Issues Committee, Inquiry into legislated spent conviction scheme, 3 June 2019 &lt;</w:t>
      </w:r>
      <w:hyperlink r:id="rId2" w:history="1">
        <w:r w:rsidRPr="007860DA">
          <w:rPr>
            <w:rStyle w:val="Hyperlink"/>
          </w:rPr>
          <w:t>https://www.parliament.vic.gov.au/images/S5_-_Woor-Dungin_Redacted.pdf</w:t>
        </w:r>
      </w:hyperlink>
      <w:r>
        <w:rPr>
          <w:rStyle w:val="Hyperlink"/>
        </w:rPr>
        <w:t>&gt;</w:t>
      </w:r>
      <w:r>
        <w:t xml:space="preserve"> </w:t>
      </w:r>
    </w:p>
  </w:footnote>
  <w:footnote w:id="4">
    <w:p w14:paraId="2F40DFBB" w14:textId="3BC1F881" w:rsidR="007920E5" w:rsidRDefault="007920E5">
      <w:pPr>
        <w:pStyle w:val="FootnoteText"/>
      </w:pPr>
      <w:r>
        <w:rPr>
          <w:rStyle w:val="FootnoteReference"/>
        </w:rPr>
        <w:footnoteRef/>
      </w:r>
      <w:r>
        <w:t xml:space="preserve"> Julian Gardner, An Equality Act for a Fairer Victoria, Final Report (2008) (</w:t>
      </w:r>
      <w:r w:rsidRPr="0097146B">
        <w:rPr>
          <w:b/>
        </w:rPr>
        <w:t>Gardner Review</w:t>
      </w:r>
      <w:r>
        <w:t xml:space="preserve">), recommendation 48. </w:t>
      </w:r>
    </w:p>
  </w:footnote>
  <w:footnote w:id="5">
    <w:p w14:paraId="4EF710CC" w14:textId="520EDD69" w:rsidR="007920E5" w:rsidRDefault="007920E5" w:rsidP="001C3249">
      <w:pPr>
        <w:pStyle w:val="FootnoteText"/>
      </w:pPr>
      <w:r>
        <w:rPr>
          <w:rStyle w:val="FootnoteReference"/>
        </w:rPr>
        <w:footnoteRef/>
      </w:r>
      <w:r>
        <w:t xml:space="preserve"> </w:t>
      </w:r>
      <w:r w:rsidRPr="001C3249">
        <w:rPr>
          <w:i/>
        </w:rPr>
        <w:t>Sentencing Amendment (Historical Homosexual Convictions Expungement) Act 2014</w:t>
      </w:r>
      <w:r>
        <w:rPr>
          <w:i/>
        </w:rPr>
        <w:t xml:space="preserve"> </w:t>
      </w:r>
      <w:r>
        <w:t>(Vic)</w:t>
      </w:r>
      <w:r w:rsidRPr="001C3249">
        <w:rPr>
          <w:i/>
        </w:rPr>
        <w:t>.</w:t>
      </w:r>
      <w:r>
        <w:rPr>
          <w:i/>
        </w:rPr>
        <w:t xml:space="preserve"> </w:t>
      </w:r>
    </w:p>
  </w:footnote>
  <w:footnote w:id="6">
    <w:p w14:paraId="31E973D8" w14:textId="6BBC4184" w:rsidR="007920E5" w:rsidRDefault="007920E5" w:rsidP="00CB39EC">
      <w:pPr>
        <w:pStyle w:val="FootnoteText"/>
      </w:pPr>
      <w:r>
        <w:rPr>
          <w:rStyle w:val="FootnoteReference"/>
        </w:rPr>
        <w:footnoteRef/>
      </w:r>
      <w:r>
        <w:t xml:space="preserve"> </w:t>
      </w:r>
      <w:r w:rsidRPr="00957535">
        <w:rPr>
          <w:i/>
        </w:rPr>
        <w:t>Australian Human Rights Commission Act 1986</w:t>
      </w:r>
      <w:r>
        <w:t xml:space="preserve"> (</w:t>
      </w:r>
      <w:r>
        <w:t>Cth), section 31(b).</w:t>
      </w:r>
    </w:p>
  </w:footnote>
  <w:footnote w:id="7">
    <w:p w14:paraId="640E0287" w14:textId="77777777" w:rsidR="007920E5" w:rsidRDefault="007920E5" w:rsidP="00CB39EC">
      <w:pPr>
        <w:pStyle w:val="FootnoteText"/>
      </w:pPr>
      <w:r w:rsidRPr="00C50BA7">
        <w:rPr>
          <w:vertAlign w:val="superscript"/>
        </w:rPr>
        <w:footnoteRef/>
      </w:r>
      <w:r>
        <w:t xml:space="preserve"> Australian Human Rights Commission Regulations 1989 (</w:t>
      </w:r>
      <w:r>
        <w:t>Cth), reg 4(a)(iii).</w:t>
      </w:r>
    </w:p>
  </w:footnote>
  <w:footnote w:id="8">
    <w:p w14:paraId="60957F1F" w14:textId="371C2890" w:rsidR="007920E5" w:rsidRDefault="007920E5" w:rsidP="00365EF0">
      <w:pPr>
        <w:pStyle w:val="FootnoteText"/>
      </w:pPr>
      <w:r>
        <w:rPr>
          <w:rStyle w:val="FootnoteReference"/>
        </w:rPr>
        <w:footnoteRef/>
      </w:r>
      <w:r>
        <w:t xml:space="preserve"> Australian Human Rights Commission, ‘2017-2018 Complaint statistics’,&lt; </w:t>
      </w:r>
      <w:hyperlink r:id="rId3" w:history="1">
        <w:r w:rsidRPr="00A806DD">
          <w:rPr>
            <w:rStyle w:val="Hyperlink"/>
          </w:rPr>
          <w:t>https://www.humanrights.gov.au/our-work/commission-general/publications/annual-report-2017-2018</w:t>
        </w:r>
      </w:hyperlink>
      <w:r>
        <w:rPr>
          <w:rStyle w:val="Hyperlink"/>
        </w:rPr>
        <w:t>&gt;.</w:t>
      </w:r>
      <w:r>
        <w:t xml:space="preserve"> </w:t>
      </w:r>
    </w:p>
  </w:footnote>
  <w:footnote w:id="9">
    <w:p w14:paraId="1009EDE6" w14:textId="4D1B6890" w:rsidR="007920E5" w:rsidRDefault="007920E5">
      <w:pPr>
        <w:pStyle w:val="FootnoteText"/>
      </w:pPr>
      <w:r>
        <w:rPr>
          <w:rStyle w:val="FootnoteReference"/>
        </w:rPr>
        <w:footnoteRef/>
      </w:r>
      <w:r>
        <w:t xml:space="preserve"> Australian Human Rights Commission, </w:t>
      </w:r>
      <w:r w:rsidRPr="00D50123">
        <w:rPr>
          <w:i/>
        </w:rPr>
        <w:t>On the Record: Guidelines for the prevention of discrimination in employment on the basis of criminal record</w:t>
      </w:r>
      <w:r>
        <w:t>, Sydney, February 2012 &lt;</w:t>
      </w:r>
      <w:r w:rsidRPr="001A01EA">
        <w:t xml:space="preserve"> </w:t>
      </w:r>
      <w:hyperlink r:id="rId4" w:history="1">
        <w:r w:rsidRPr="00683153">
          <w:rPr>
            <w:rStyle w:val="Hyperlink"/>
          </w:rPr>
          <w:t>https://www.humanrights.gov.au/sites/default/files/content/human_rights/criminalrecord/on_the_record/download/otr_guidelines.pdf</w:t>
        </w:r>
      </w:hyperlink>
      <w:r>
        <w:t xml:space="preserve">&gt;. </w:t>
      </w:r>
    </w:p>
  </w:footnote>
  <w:footnote w:id="10">
    <w:p w14:paraId="5DB34370" w14:textId="18E2D5E8" w:rsidR="007920E5" w:rsidRPr="00C50BA7" w:rsidRDefault="007920E5">
      <w:pPr>
        <w:pStyle w:val="FootnoteText"/>
      </w:pPr>
      <w:r>
        <w:rPr>
          <w:rStyle w:val="FootnoteReference"/>
        </w:rPr>
        <w:footnoteRef/>
      </w:r>
      <w:r>
        <w:t xml:space="preserve"> </w:t>
      </w:r>
      <w:r w:rsidRPr="00C50BA7">
        <w:rPr>
          <w:i/>
        </w:rPr>
        <w:t>Discrimination Act 1991</w:t>
      </w:r>
      <w:r w:rsidRPr="00C50BA7">
        <w:t xml:space="preserve"> (ACT)</w:t>
      </w:r>
      <w:r>
        <w:t xml:space="preserve">. In 2006, section 2 was added to include a definition of ‘irrelevant criminal record’ to include a record relating to an offence or an alleged offence if (f) “the person has a spent conviction or an extinguished conviction within the meaning of the </w:t>
      </w:r>
      <w:r w:rsidRPr="00A85F7F">
        <w:rPr>
          <w:i/>
        </w:rPr>
        <w:t>Spent Convictions Act</w:t>
      </w:r>
      <w:r>
        <w:t xml:space="preserve"> 2000, for the offence”. </w:t>
      </w:r>
    </w:p>
  </w:footnote>
  <w:footnote w:id="11">
    <w:p w14:paraId="25048C1B" w14:textId="08A5B28D" w:rsidR="007920E5" w:rsidRDefault="007920E5">
      <w:pPr>
        <w:pStyle w:val="FootnoteText"/>
      </w:pPr>
      <w:r>
        <w:rPr>
          <w:rStyle w:val="FootnoteReference"/>
        </w:rPr>
        <w:footnoteRef/>
      </w:r>
      <w:r>
        <w:t xml:space="preserve"> </w:t>
      </w:r>
      <w:r w:rsidRPr="00C50BA7">
        <w:rPr>
          <w:i/>
        </w:rPr>
        <w:t>Anti-Discrimination Act 1992</w:t>
      </w:r>
      <w:r>
        <w:t xml:space="preserve"> (NT), s 19(1)(q).</w:t>
      </w:r>
    </w:p>
  </w:footnote>
  <w:footnote w:id="12">
    <w:p w14:paraId="4CE08A2D" w14:textId="470DBE43" w:rsidR="007920E5" w:rsidRDefault="007920E5">
      <w:pPr>
        <w:pStyle w:val="FootnoteText"/>
      </w:pPr>
      <w:r>
        <w:rPr>
          <w:rStyle w:val="FootnoteReference"/>
        </w:rPr>
        <w:footnoteRef/>
      </w:r>
      <w:r>
        <w:t xml:space="preserve"> </w:t>
      </w:r>
      <w:r w:rsidRPr="00C21C98">
        <w:rPr>
          <w:i/>
        </w:rPr>
        <w:t>Anti-Discrimination Act 1998</w:t>
      </w:r>
      <w:r>
        <w:t xml:space="preserve"> (Tas), s 16(q).</w:t>
      </w:r>
    </w:p>
  </w:footnote>
  <w:footnote w:id="13">
    <w:p w14:paraId="4ED001A3" w14:textId="139A2E9D" w:rsidR="007920E5" w:rsidRDefault="007920E5">
      <w:pPr>
        <w:pStyle w:val="FootnoteText"/>
      </w:pPr>
      <w:r>
        <w:rPr>
          <w:rStyle w:val="FootnoteReference"/>
        </w:rPr>
        <w:footnoteRef/>
      </w:r>
      <w:r>
        <w:t xml:space="preserve"> </w:t>
      </w:r>
      <w:r w:rsidRPr="00CB39EC">
        <w:rPr>
          <w:i/>
        </w:rPr>
        <w:t>Spent Convictions Act 1998</w:t>
      </w:r>
      <w:r>
        <w:t xml:space="preserve"> (WA), Division 3.</w:t>
      </w:r>
    </w:p>
  </w:footnote>
  <w:footnote w:id="14">
    <w:p w14:paraId="327B9467" w14:textId="7FDD03ED" w:rsidR="007920E5" w:rsidRDefault="007920E5" w:rsidP="004E7F3F">
      <w:pPr>
        <w:pStyle w:val="FootnoteText"/>
      </w:pPr>
      <w:r>
        <w:rPr>
          <w:rStyle w:val="FootnoteReference"/>
        </w:rPr>
        <w:footnoteRef/>
      </w:r>
      <w:r>
        <w:t xml:space="preserve"> See, for instance, </w:t>
      </w:r>
      <w:r>
        <w:t xml:space="preserve">Woor Dungin, Submission No 5 to Legal and Social Issues Committee, </w:t>
      </w:r>
      <w:r w:rsidRPr="00A85F7F">
        <w:rPr>
          <w:i/>
        </w:rPr>
        <w:t>Inquiry into legislated spent conviction scheme</w:t>
      </w:r>
      <w:r>
        <w:t>, 3 June 2019 &lt;</w:t>
      </w:r>
      <w:hyperlink r:id="rId5" w:history="1">
        <w:r w:rsidRPr="007860DA">
          <w:rPr>
            <w:rStyle w:val="Hyperlink"/>
          </w:rPr>
          <w:t>https://www.parliament.vic.gov.au/images/S5_-_Woor-Dungin_Redacted.pdf</w:t>
        </w:r>
      </w:hyperlink>
      <w:r>
        <w:rPr>
          <w:rStyle w:val="Hyperlink"/>
        </w:rPr>
        <w:t>&gt;</w:t>
      </w:r>
      <w:r>
        <w:t xml:space="preserve"> , Fitzroy Legal Service and Job Watch (2005) </w:t>
      </w:r>
      <w:r w:rsidRPr="00461078">
        <w:rPr>
          <w:i/>
        </w:rPr>
        <w:t>Criminal Records in Victoria: Proposals for Reform</w:t>
      </w:r>
      <w:r>
        <w:t xml:space="preserve"> &lt;</w:t>
      </w:r>
      <w:hyperlink r:id="rId6" w:history="1">
        <w:r w:rsidRPr="00C62118">
          <w:rPr>
            <w:rStyle w:val="Hyperlink"/>
          </w:rPr>
          <w:t>http://jobwatch.org.au/wp-content/uploads/2018/04/Criminal-records-Final-Copy.pdf</w:t>
        </w:r>
      </w:hyperlink>
      <w:r>
        <w:rPr>
          <w:rStyle w:val="Hyperlink"/>
        </w:rPr>
        <w:t>&gt;</w:t>
      </w:r>
      <w:r>
        <w:t>; ‘</w:t>
      </w:r>
      <w:r w:rsidRPr="00A85F7F">
        <w:rPr>
          <w:i/>
        </w:rPr>
        <w:t>Off the record</w:t>
      </w:r>
      <w:r>
        <w:t>” documentary film, (2012) funded by University of Melbourne for Fitzroy Legal Service, &lt;</w:t>
      </w:r>
      <w:r w:rsidRPr="00C62118">
        <w:t xml:space="preserve"> </w:t>
      </w:r>
      <w:hyperlink r:id="rId7" w:history="1">
        <w:r w:rsidRPr="00683153">
          <w:rPr>
            <w:rStyle w:val="Hyperlink"/>
          </w:rPr>
          <w:t>https://offtherecordcampaign.wordpress.com/</w:t>
        </w:r>
      </w:hyperlink>
      <w:r>
        <w:t xml:space="preserve">&gt;. </w:t>
      </w:r>
    </w:p>
  </w:footnote>
  <w:footnote w:id="15">
    <w:p w14:paraId="2FFAA934" w14:textId="7889E807" w:rsidR="007920E5" w:rsidRDefault="007920E5" w:rsidP="00190BB6">
      <w:pPr>
        <w:pStyle w:val="FootnoteText"/>
      </w:pPr>
      <w:r>
        <w:rPr>
          <w:rStyle w:val="FootnoteReference"/>
        </w:rPr>
        <w:footnoteRef/>
      </w:r>
      <w:r>
        <w:t xml:space="preserve"> From approximately 1 July 2018 – 30 June 2019.</w:t>
      </w:r>
    </w:p>
  </w:footnote>
  <w:footnote w:id="16">
    <w:p w14:paraId="3E39F2E1" w14:textId="77777777" w:rsidR="007920E5" w:rsidRDefault="007920E5" w:rsidP="00190BB6">
      <w:pPr>
        <w:pStyle w:val="FootnoteText"/>
      </w:pPr>
      <w:r>
        <w:rPr>
          <w:rStyle w:val="FootnoteReference"/>
        </w:rPr>
        <w:footnoteRef/>
      </w:r>
      <w:r>
        <w:t xml:space="preserve"> From approximately 2013 - June 2019.</w:t>
      </w:r>
    </w:p>
  </w:footnote>
  <w:footnote w:id="17">
    <w:p w14:paraId="76D14790" w14:textId="5E623AEF" w:rsidR="007920E5" w:rsidRDefault="007920E5" w:rsidP="00DF7A6F">
      <w:pPr>
        <w:pStyle w:val="FootnoteText"/>
      </w:pPr>
      <w:r>
        <w:rPr>
          <w:rStyle w:val="FootnoteReference"/>
        </w:rPr>
        <w:footnoteRef/>
      </w:r>
      <w:r>
        <w:t xml:space="preserve"> </w:t>
      </w:r>
      <w:r w:rsidRPr="00957535">
        <w:rPr>
          <w:i/>
        </w:rPr>
        <w:t>Equal Opportunity Act 2010</w:t>
      </w:r>
      <w:r>
        <w:t xml:space="preserve"> (Vic), Part 4.</w:t>
      </w:r>
    </w:p>
  </w:footnote>
  <w:footnote w:id="18">
    <w:p w14:paraId="5EE6971D" w14:textId="48E6CF2C" w:rsidR="007920E5" w:rsidRDefault="007920E5" w:rsidP="00421940">
      <w:pPr>
        <w:pStyle w:val="FootnoteText"/>
      </w:pPr>
      <w:r>
        <w:rPr>
          <w:rStyle w:val="FootnoteReference"/>
        </w:rPr>
        <w:footnoteRef/>
      </w:r>
      <w:r>
        <w:t xml:space="preserve"> </w:t>
      </w:r>
      <w:r w:rsidRPr="00837EC6">
        <w:rPr>
          <w:rFonts w:cs="Calibri"/>
        </w:rPr>
        <w:t xml:space="preserve">Stan Winford, Bronwyn Naylor, Sylvia Rowley, ‘Criminal Record Discrimination Project – Position Paper’ (Paper presented at the </w:t>
      </w:r>
      <w:r w:rsidRPr="00837EC6">
        <w:rPr>
          <w:rFonts w:cs="Calibri"/>
        </w:rPr>
        <w:t>Woor-Dungin Consultation, Melbourne, 4 April 2017)</w:t>
      </w:r>
      <w:r>
        <w:t>. &lt;</w:t>
      </w:r>
      <w:hyperlink r:id="rId8" w:history="1">
        <w:r w:rsidRPr="000265FD">
          <w:rPr>
            <w:rStyle w:val="Hyperlink"/>
          </w:rPr>
          <w:t>http://www.woor-dungin.com.au/criminal-record-discrimination/</w:t>
        </w:r>
      </w:hyperlink>
      <w:r>
        <w:t xml:space="preserve">&gt;. </w:t>
      </w:r>
    </w:p>
  </w:footnote>
  <w:footnote w:id="19">
    <w:p w14:paraId="23E03A2F" w14:textId="669B6084" w:rsidR="007920E5" w:rsidRDefault="007920E5" w:rsidP="00BD7527">
      <w:pPr>
        <w:pStyle w:val="FootnoteText"/>
      </w:pPr>
      <w:r>
        <w:rPr>
          <w:rStyle w:val="FootnoteReference"/>
        </w:rPr>
        <w:footnoteRef/>
      </w:r>
      <w:r>
        <w:t xml:space="preserve"> Beth Gaze and Belinda Smith, </w:t>
      </w:r>
      <w:r w:rsidRPr="00957535">
        <w:rPr>
          <w:i/>
        </w:rPr>
        <w:t>Equality and Discrimination Law in Australia:</w:t>
      </w:r>
      <w:r>
        <w:t xml:space="preserve"> (Cambridge University Press, 2017), 103.</w:t>
      </w:r>
    </w:p>
  </w:footnote>
  <w:footnote w:id="20">
    <w:p w14:paraId="6C24E6A7" w14:textId="608CCA85" w:rsidR="007920E5" w:rsidRDefault="007920E5" w:rsidP="00BD7527">
      <w:pPr>
        <w:pStyle w:val="FootnoteText"/>
      </w:pPr>
      <w:r>
        <w:rPr>
          <w:rStyle w:val="FootnoteReference"/>
        </w:rPr>
        <w:footnoteRef/>
      </w:r>
      <w:r>
        <w:t xml:space="preserve"> Emeritus Professor Rosalind Croucher, ‘Criminal record discrimination’ article published in </w:t>
      </w:r>
      <w:r w:rsidRPr="00EF5732">
        <w:rPr>
          <w:i/>
        </w:rPr>
        <w:t>the Australian</w:t>
      </w:r>
      <w:r>
        <w:t>, 4 July 2018 &lt;</w:t>
      </w:r>
      <w:hyperlink r:id="rId9" w:history="1">
        <w:r w:rsidRPr="009F7ADB">
          <w:rPr>
            <w:rStyle w:val="Hyperlink"/>
          </w:rPr>
          <w:t>https://www.humanrights.gov.au/about/news/criminal-record-discrimination</w:t>
        </w:r>
      </w:hyperlink>
      <w:r>
        <w:rPr>
          <w:rStyle w:val="Hyperlink"/>
        </w:rPr>
        <w:t>&gt;</w:t>
      </w:r>
      <w:r>
        <w:t xml:space="preserve">. </w:t>
      </w:r>
    </w:p>
  </w:footnote>
  <w:footnote w:id="21">
    <w:p w14:paraId="5EB17CBE" w14:textId="1EA64CE2" w:rsidR="007920E5" w:rsidRPr="00615713" w:rsidRDefault="007920E5" w:rsidP="00BD7527">
      <w:pPr>
        <w:pStyle w:val="FootnoteText"/>
        <w:rPr>
          <w:i/>
        </w:rPr>
      </w:pPr>
      <w:r>
        <w:rPr>
          <w:rStyle w:val="FootnoteReference"/>
        </w:rPr>
        <w:footnoteRef/>
      </w:r>
      <w:r>
        <w:t xml:space="preserve"> Julian Gardner, An Equality Act for a Fairer Victoria, Final Report (2008) 99 (</w:t>
      </w:r>
      <w:r w:rsidRPr="0097146B">
        <w:rPr>
          <w:b/>
        </w:rPr>
        <w:t>Gardner Review</w:t>
      </w:r>
      <w:r>
        <w:t xml:space="preserve">). </w:t>
      </w:r>
    </w:p>
  </w:footnote>
  <w:footnote w:id="22">
    <w:p w14:paraId="5A0B6A66" w14:textId="47B709C2" w:rsidR="007920E5" w:rsidRDefault="007920E5" w:rsidP="00BD7527">
      <w:pPr>
        <w:pStyle w:val="FootnoteText"/>
      </w:pPr>
      <w:r>
        <w:rPr>
          <w:rStyle w:val="FootnoteReference"/>
        </w:rPr>
        <w:footnoteRef/>
      </w:r>
      <w:r>
        <w:t xml:space="preserve"> </w:t>
      </w:r>
      <w:r w:rsidRPr="00837EC6">
        <w:rPr>
          <w:rFonts w:cs="Calibri"/>
        </w:rPr>
        <w:t xml:space="preserve">Stan Winford, Bronwyn Naylor, Sylvia Rowley, ‘Criminal Record Discrimination Project – Position Paper’ (Paper presented at the </w:t>
      </w:r>
      <w:r w:rsidRPr="00837EC6">
        <w:rPr>
          <w:rFonts w:cs="Calibri"/>
        </w:rPr>
        <w:t>Woor-Dungin Consultation, Melbourne, 4 April 2017)</w:t>
      </w:r>
      <w:r>
        <w:t>. &lt;</w:t>
      </w:r>
      <w:hyperlink r:id="rId10" w:history="1">
        <w:r w:rsidRPr="000265FD">
          <w:rPr>
            <w:rStyle w:val="Hyperlink"/>
          </w:rPr>
          <w:t>http://www.woor-dungin.com.au/criminal-record-discrimination/</w:t>
        </w:r>
      </w:hyperlink>
      <w:r>
        <w:t>&gt;. The Commission has also reported on this issue; ‘</w:t>
      </w:r>
      <w:r w:rsidRPr="00DE0151">
        <w:rPr>
          <w:i/>
        </w:rPr>
        <w:t>Unfinished Business; Koori women and the justice system</w:t>
      </w:r>
      <w:r>
        <w:t xml:space="preserve">’, August 2015); Victorian Equal Opportunity and Human Rights Commission, Annual Report 2014/15, 48.  </w:t>
      </w:r>
    </w:p>
  </w:footnote>
  <w:footnote w:id="23">
    <w:p w14:paraId="0883F7F6" w14:textId="2DA29127" w:rsidR="007920E5" w:rsidRDefault="007920E5" w:rsidP="000F07A4">
      <w:pPr>
        <w:pStyle w:val="FootnoteText"/>
      </w:pPr>
      <w:r>
        <w:rPr>
          <w:rStyle w:val="FootnoteReference"/>
        </w:rPr>
        <w:footnoteRef/>
      </w:r>
      <w:r>
        <w:t xml:space="preserve"> Burra </w:t>
      </w:r>
      <w:r>
        <w:t>Lotjpa Dunguludja, Victorian Aboriginal Justice Agreement, Phase 4, A partnership between the Victorian Government and Aboriginal Community, August 2018, 50. &lt;</w:t>
      </w:r>
      <w:hyperlink r:id="rId11" w:history="1">
        <w:r w:rsidRPr="00BD18DD">
          <w:rPr>
            <w:rStyle w:val="Hyperlink"/>
          </w:rPr>
          <w:t>https://www.aboriginaljustice.vic.gov.au/sites/default/files/embridge_cache/emshare/original/public/2018/09/9d/784c6e742/Victorian%20Aboriginal%20Justice%20Agreement%20Phase%204.pdf</w:t>
        </w:r>
      </w:hyperlink>
      <w:r>
        <w:t xml:space="preserve">&gt; </w:t>
      </w:r>
      <w:r w:rsidRPr="00256CD1">
        <w:t>11</w:t>
      </w:r>
      <w:r>
        <w:t xml:space="preserve">; </w:t>
      </w:r>
      <w:r w:rsidRPr="00774285">
        <w:rPr>
          <w:lang w:eastAsia="en-GB"/>
        </w:rPr>
        <w:t xml:space="preserve">Department of Premier and Cabinet, Victorian Government, </w:t>
      </w:r>
      <w:r w:rsidRPr="00774285">
        <w:rPr>
          <w:i/>
          <w:iCs/>
          <w:lang w:eastAsia="en-GB"/>
        </w:rPr>
        <w:t>Victorian Aboriginal Affairs Framework 2018-2023</w:t>
      </w:r>
      <w:r w:rsidRPr="00774285">
        <w:rPr>
          <w:lang w:eastAsia="en-GB"/>
        </w:rPr>
        <w:t xml:space="preserve"> (October 2018) 22.</w:t>
      </w:r>
      <w:r w:rsidRPr="00256CD1">
        <w:t xml:space="preserve"> </w:t>
      </w:r>
    </w:p>
  </w:footnote>
  <w:footnote w:id="24">
    <w:p w14:paraId="49CC4D58" w14:textId="44404400" w:rsidR="007920E5" w:rsidRDefault="007920E5" w:rsidP="000F07A4">
      <w:pPr>
        <w:pStyle w:val="FootnoteText"/>
      </w:pPr>
      <w:r>
        <w:rPr>
          <w:rStyle w:val="FootnoteReference"/>
        </w:rPr>
        <w:footnoteRef/>
      </w:r>
      <w:r>
        <w:t xml:space="preserve"> Burra </w:t>
      </w:r>
      <w:r>
        <w:t>Lotjpa Dunguludja, Victorian Aboriginal Justice Agreement, Phase 4, A partnership between the Victorian Government and Aboriginal Community, August 2018, 50</w:t>
      </w:r>
      <w:r>
        <w:rPr>
          <w:rStyle w:val="Hyperlink"/>
        </w:rPr>
        <w:t>.</w:t>
      </w:r>
      <w:r>
        <w:t xml:space="preserve"> </w:t>
      </w:r>
    </w:p>
  </w:footnote>
  <w:footnote w:id="25">
    <w:p w14:paraId="3DC0038C" w14:textId="77777777" w:rsidR="007920E5" w:rsidRDefault="007920E5" w:rsidP="000F07A4">
      <w:pPr>
        <w:pStyle w:val="FootnoteText"/>
      </w:pPr>
      <w:r>
        <w:rPr>
          <w:rStyle w:val="FootnoteReference"/>
        </w:rPr>
        <w:footnoteRef/>
      </w:r>
      <w:r>
        <w:t xml:space="preserve"> Ibid, 44. </w:t>
      </w:r>
    </w:p>
  </w:footnote>
  <w:footnote w:id="26">
    <w:p w14:paraId="0A54F392" w14:textId="77777777" w:rsidR="007920E5" w:rsidRDefault="007920E5" w:rsidP="000F07A4">
      <w:pPr>
        <w:pStyle w:val="FootnoteText"/>
      </w:pPr>
      <w:r>
        <w:rPr>
          <w:rStyle w:val="FootnoteReference"/>
        </w:rPr>
        <w:footnoteRef/>
      </w:r>
      <w:r>
        <w:t xml:space="preserve"> Ibid, 44 - 45. </w:t>
      </w:r>
    </w:p>
  </w:footnote>
  <w:footnote w:id="27">
    <w:p w14:paraId="1996DF29" w14:textId="19FF9BD9" w:rsidR="007920E5" w:rsidRDefault="007920E5">
      <w:pPr>
        <w:pStyle w:val="FootnoteText"/>
      </w:pPr>
      <w:r>
        <w:rPr>
          <w:rStyle w:val="FootnoteReference"/>
        </w:rPr>
        <w:footnoteRef/>
      </w:r>
      <w:r>
        <w:t xml:space="preserve"> See for instance, Law Institute of Victoria, Submission Number 8A, Legal and Social Committee, </w:t>
      </w:r>
      <w:r w:rsidRPr="00A85F7F">
        <w:rPr>
          <w:i/>
        </w:rPr>
        <w:t>Inquiry into Legislated Spent Convictions Scheme</w:t>
      </w:r>
      <w:r>
        <w:t>, 7 June 2019, 2, 6. &lt;</w:t>
      </w:r>
      <w:hyperlink r:id="rId12" w:history="1">
        <w:r w:rsidRPr="00D93ED3">
          <w:rPr>
            <w:rStyle w:val="Hyperlink"/>
          </w:rPr>
          <w:t>https://www.parliament.vic.gov.au/images/stories/committees/SCLSI/Spent_Convictions/submissions/S8_-_Law_Institute_of_Victoria_Redacted.pdf</w:t>
        </w:r>
      </w:hyperlink>
      <w:r>
        <w:t xml:space="preserve">&gt; </w:t>
      </w:r>
    </w:p>
  </w:footnote>
  <w:footnote w:id="28">
    <w:p w14:paraId="2AAE7E64" w14:textId="5E941E7E" w:rsidR="007920E5" w:rsidRDefault="007920E5" w:rsidP="00475C71">
      <w:pPr>
        <w:pStyle w:val="FootnoteText"/>
      </w:pPr>
      <w:r w:rsidRPr="00615713">
        <w:footnoteRef/>
      </w:r>
      <w:r>
        <w:t xml:space="preserve"> </w:t>
      </w:r>
      <w:r w:rsidRPr="000000C8">
        <w:t xml:space="preserve">Stan Winford, Bronwyn Naylor, Sylvia Rowley, ‘Criminal Record Discrimination Project – Position Paper’ (Paper presented at the </w:t>
      </w:r>
      <w:r w:rsidRPr="000000C8">
        <w:t>Woor-Dungin Consultation, Melbourne, 4 April 2017)</w:t>
      </w:r>
      <w:r>
        <w:t xml:space="preserve"> &lt;</w:t>
      </w:r>
      <w:hyperlink r:id="rId13" w:history="1">
        <w:r w:rsidRPr="00683153">
          <w:rPr>
            <w:rStyle w:val="Hyperlink"/>
          </w:rPr>
          <w:t>http://www.woor-dungin.com.au/criminal-record-discrimination/</w:t>
        </w:r>
      </w:hyperlink>
      <w:r>
        <w:t>&gt; . Woor-Dungin’s thoroughly researched submission was produced over a three-year period following extensive consultation in Victoria with Aboriginal and non-Aboriginal individuals and organisations. The position paper was presented to the Aboriginal Justice Forum in December 2017 and the Commission notes its submission to this Inquiry has been endorsed by several organisations such as the Law Institute of Victoria, Jobwatch and the Human Rights Law Centre.</w:t>
      </w:r>
    </w:p>
  </w:footnote>
  <w:footnote w:id="29">
    <w:p w14:paraId="03338338" w14:textId="138B123D" w:rsidR="007920E5" w:rsidRDefault="007920E5" w:rsidP="00475C71">
      <w:pPr>
        <w:pStyle w:val="FootnoteText"/>
      </w:pPr>
      <w:r>
        <w:rPr>
          <w:rStyle w:val="FootnoteReference"/>
        </w:rPr>
        <w:footnoteRef/>
      </w:r>
      <w:r>
        <w:t xml:space="preserve"> </w:t>
      </w:r>
      <w:r w:rsidRPr="00A85F7F">
        <w:t xml:space="preserve">Western Australia </w:t>
      </w:r>
      <w:r w:rsidRPr="00A85F7F">
        <w:rPr>
          <w:rFonts w:eastAsia="Arial Unicode MS"/>
        </w:rPr>
        <w:t>protects the attribute of</w:t>
      </w:r>
      <w:r w:rsidRPr="00A85F7F">
        <w:t xml:space="preserve"> a</w:t>
      </w:r>
      <w:r w:rsidRPr="00A85F7F">
        <w:rPr>
          <w:rFonts w:eastAsia="Arial Unicode MS"/>
        </w:rPr>
        <w:t xml:space="preserve"> </w:t>
      </w:r>
      <w:r w:rsidRPr="00A85F7F">
        <w:t>‘</w:t>
      </w:r>
      <w:r w:rsidRPr="00A85F7F">
        <w:rPr>
          <w:rFonts w:eastAsia="Arial Unicode MS"/>
        </w:rPr>
        <w:t>spent conviction</w:t>
      </w:r>
      <w:r w:rsidRPr="00A85F7F">
        <w:t>’</w:t>
      </w:r>
      <w:r w:rsidRPr="00A85F7F">
        <w:rPr>
          <w:rFonts w:eastAsia="Arial Unicode MS"/>
        </w:rPr>
        <w:t>. (</w:t>
      </w:r>
      <w:r w:rsidRPr="00A85F7F">
        <w:rPr>
          <w:i/>
        </w:rPr>
        <w:t>Spent Convictions Act 1988</w:t>
      </w:r>
      <w:r w:rsidRPr="007A5364">
        <w:t xml:space="preserve">, (WA), Division 3.) </w:t>
      </w:r>
      <w:r w:rsidRPr="007A5364">
        <w:rPr>
          <w:rFonts w:eastAsia="Arial Unicode MS"/>
        </w:rPr>
        <w:t>Tasmania</w:t>
      </w:r>
      <w:r w:rsidRPr="00A85F7F">
        <w:rPr>
          <w:rFonts w:eastAsia="Arial Unicode MS"/>
        </w:rPr>
        <w:t>,</w:t>
      </w:r>
      <w:r w:rsidRPr="007A5364">
        <w:rPr>
          <w:rFonts w:eastAsia="Arial Unicode MS"/>
        </w:rPr>
        <w:t xml:space="preserve"> the ACT and the N</w:t>
      </w:r>
      <w:r w:rsidRPr="007A5364">
        <w:t>orthern Territory</w:t>
      </w:r>
      <w:r w:rsidRPr="007A5364">
        <w:rPr>
          <w:rFonts w:eastAsia="Arial Unicode MS"/>
        </w:rPr>
        <w:t xml:space="preserve"> protect relevant medical record and ‘irrelevant criminal record’</w:t>
      </w:r>
      <w:r w:rsidRPr="00A85F7F">
        <w:rPr>
          <w:rFonts w:eastAsia="Arial Unicode MS"/>
        </w:rPr>
        <w:t xml:space="preserve"> discrimination</w:t>
      </w:r>
      <w:r w:rsidRPr="007A5364">
        <w:rPr>
          <w:rFonts w:eastAsia="Arial Unicode MS"/>
        </w:rPr>
        <w:t>. (</w:t>
      </w:r>
      <w:r w:rsidRPr="00A85F7F">
        <w:rPr>
          <w:rFonts w:eastAsia="Arial Unicode MS"/>
          <w:i/>
        </w:rPr>
        <w:t>The Tasmanian Anti-Discrimination Act 1998</w:t>
      </w:r>
      <w:r w:rsidRPr="007A5364">
        <w:rPr>
          <w:rFonts w:eastAsia="Arial Unicode MS"/>
        </w:rPr>
        <w:t xml:space="preserve">, Division 7; </w:t>
      </w:r>
      <w:r w:rsidRPr="00A85F7F">
        <w:rPr>
          <w:rFonts w:eastAsia="Arial Unicode MS"/>
          <w:i/>
        </w:rPr>
        <w:t>Discrimination Act 1991</w:t>
      </w:r>
      <w:r w:rsidRPr="007A5364">
        <w:rPr>
          <w:rFonts w:eastAsia="Arial Unicode MS"/>
        </w:rPr>
        <w:t xml:space="preserve"> (Act), Section 2; </w:t>
      </w:r>
      <w:r w:rsidRPr="00A85F7F">
        <w:rPr>
          <w:rFonts w:eastAsia="Arial Unicode MS"/>
          <w:i/>
        </w:rPr>
        <w:t>Anti-Discrimination Act 1992</w:t>
      </w:r>
      <w:r w:rsidRPr="007A5364">
        <w:rPr>
          <w:rFonts w:eastAsia="Arial Unicode MS"/>
        </w:rPr>
        <w:t xml:space="preserve"> (NT), s 37) See also </w:t>
      </w:r>
      <w:r w:rsidRPr="007A5364">
        <w:t xml:space="preserve">Beth Gaze, Belinda Smith, </w:t>
      </w:r>
      <w:r w:rsidRPr="00A85F7F">
        <w:rPr>
          <w:i/>
        </w:rPr>
        <w:t>Equality and Discrimination Law in Australia: Introduction</w:t>
      </w:r>
      <w:r w:rsidRPr="007A5364">
        <w:t xml:space="preserve"> (</w:t>
      </w:r>
      <w:r>
        <w:t xml:space="preserve">Cambridge University Press, 2017), 298-299.   </w:t>
      </w:r>
    </w:p>
  </w:footnote>
  <w:footnote w:id="30">
    <w:p w14:paraId="6A3DBA5B" w14:textId="6805E900" w:rsidR="007920E5" w:rsidRDefault="007920E5" w:rsidP="00475C71">
      <w:pPr>
        <w:pStyle w:val="FootnoteText"/>
      </w:pPr>
      <w:r>
        <w:rPr>
          <w:rStyle w:val="FootnoteReference"/>
        </w:rPr>
        <w:footnoteRef/>
      </w:r>
      <w:r>
        <w:t xml:space="preserve"> The Commission notes that </w:t>
      </w:r>
      <w:r w:rsidRPr="00957535">
        <w:rPr>
          <w:rFonts w:eastAsia="Arial Unicode MS"/>
        </w:rPr>
        <w:t>Victoria (recently) added the attribute of ‘expunged homosexual conviction’</w:t>
      </w:r>
      <w:r>
        <w:rPr>
          <w:rFonts w:eastAsia="Arial Unicode MS"/>
        </w:rPr>
        <w:t xml:space="preserve"> as protected attribute 6(pa).</w:t>
      </w:r>
      <w:r w:rsidRPr="00361D8B">
        <w:t xml:space="preserve"> </w:t>
      </w:r>
      <w:r>
        <w:t xml:space="preserve">This legislative change recognised that in addition to removing the criminality of a historical conviction for a homosexual act, additional, specific protections were required.   </w:t>
      </w:r>
    </w:p>
  </w:footnote>
  <w:footnote w:id="31">
    <w:p w14:paraId="5D232C0C" w14:textId="1406D310" w:rsidR="007920E5" w:rsidRDefault="007920E5" w:rsidP="00A85F7F">
      <w:pPr>
        <w:pStyle w:val="FootnoteText"/>
      </w:pPr>
      <w:r>
        <w:rPr>
          <w:rStyle w:val="FootnoteReference"/>
        </w:rPr>
        <w:footnoteRef/>
      </w:r>
      <w:r>
        <w:t xml:space="preserve"> Recommendation 9, p 39 of </w:t>
      </w:r>
      <w:r>
        <w:t xml:space="preserve">Woor Dungin, Submission No 5 to Legal and Social Issues Committee, </w:t>
      </w:r>
      <w:r w:rsidRPr="00150692">
        <w:rPr>
          <w:i/>
        </w:rPr>
        <w:t>Inquiry into legislated spent conviction scheme</w:t>
      </w:r>
      <w:r>
        <w:t>, 3 June 2019 &lt;</w:t>
      </w:r>
      <w:hyperlink r:id="rId14" w:history="1">
        <w:r w:rsidRPr="007860DA">
          <w:rPr>
            <w:rStyle w:val="Hyperlink"/>
          </w:rPr>
          <w:t>https://www.parliament.vic.gov.au/images/S5_-_Woor-Dungin_Redacted.pdf</w:t>
        </w:r>
      </w:hyperlink>
      <w:r>
        <w:rPr>
          <w:rStyle w:val="Hyperlink"/>
        </w:rPr>
        <w:t>&gt;</w:t>
      </w:r>
      <w:r>
        <w:t xml:space="preserve"> ; Bronwyn Naylor, Moira Paterson and Marilyn Pittard, ‘In the Shadow of a Criminal Record: Proposing a Just Model of Criminal Employment Checks’ (2008) 32 </w:t>
      </w:r>
      <w:r>
        <w:rPr>
          <w:i/>
        </w:rPr>
        <w:t xml:space="preserve">Melbourne University Law Review </w:t>
      </w:r>
      <w:r>
        <w:t>171, Lynch, P (2005) Discrimination on the Ground of Criminal Record: The Human Right to Non-Discrimination, PILCH Homeless Persons’ Legal Clinic. .</w:t>
      </w:r>
    </w:p>
  </w:footnote>
  <w:footnote w:id="32">
    <w:p w14:paraId="7DE5A7A9" w14:textId="77777777" w:rsidR="007920E5" w:rsidRDefault="007920E5" w:rsidP="00DB7A37">
      <w:pPr>
        <w:pStyle w:val="FootnoteText"/>
      </w:pPr>
      <w:r>
        <w:rPr>
          <w:rStyle w:val="FootnoteReference"/>
        </w:rPr>
        <w:footnoteRef/>
      </w:r>
      <w:r>
        <w:t xml:space="preserve"> </w:t>
      </w:r>
      <w:r w:rsidRPr="00AD663F">
        <w:rPr>
          <w:rFonts w:eastAsia="Times New Roman"/>
        </w:rPr>
        <w:t>Victoria, </w:t>
      </w:r>
      <w:r w:rsidRPr="00AD663F">
        <w:rPr>
          <w:rFonts w:eastAsia="Times New Roman"/>
          <w:i/>
          <w:iCs/>
        </w:rPr>
        <w:t>Parliamentary Debates</w:t>
      </w:r>
      <w:r w:rsidRPr="00AD663F">
        <w:rPr>
          <w:rFonts w:eastAsia="Times New Roman"/>
        </w:rPr>
        <w:t>, Legislative Assembly, 4 May 2006, 1290, 1295 (Rob Hulls, Attorney-General))</w:t>
      </w:r>
      <w:r>
        <w:rPr>
          <w:rFonts w:eastAsia="Times New Roman"/>
        </w:rPr>
        <w:t xml:space="preserve">. This often referred to as the </w:t>
      </w:r>
      <w:r>
        <w:t xml:space="preserve">‘dialogue model’ which envisages an interaction between government institutions. Section 28 of the Charter also requires a statement of compatibility to be prepared. </w:t>
      </w:r>
    </w:p>
  </w:footnote>
  <w:footnote w:id="33">
    <w:p w14:paraId="74141FF2" w14:textId="77777777" w:rsidR="007920E5" w:rsidRDefault="007920E5" w:rsidP="00073826">
      <w:pPr>
        <w:pStyle w:val="FootnoteText"/>
      </w:pPr>
      <w:r>
        <w:rPr>
          <w:rStyle w:val="FootnoteReference"/>
        </w:rPr>
        <w:footnoteRef/>
      </w:r>
      <w:r>
        <w:t xml:space="preserve"> Notably, the definition of discrimination in s 3 of the Charter draws on the discrimination as defined in the Equal Opportunity Act 2010. This does not presently include discrimination </w:t>
      </w:r>
      <w:r>
        <w:t xml:space="preserve">on the basis of an irrelevant criminal record. See discussion in </w:t>
      </w:r>
      <w:r w:rsidRPr="002319C4">
        <w:rPr>
          <w:i/>
        </w:rPr>
        <w:t>Lifestyle Communities</w:t>
      </w:r>
      <w:r>
        <w:rPr>
          <w:i/>
        </w:rPr>
        <w:t xml:space="preserve"> Ltd (No 3) (anti-discrimination) [2009]</w:t>
      </w:r>
      <w:r>
        <w:t>, VCAT [132].</w:t>
      </w:r>
    </w:p>
  </w:footnote>
  <w:footnote w:id="34">
    <w:p w14:paraId="2DB4046E" w14:textId="77777777" w:rsidR="007920E5" w:rsidRDefault="007920E5" w:rsidP="00073826">
      <w:pPr>
        <w:pStyle w:val="FootnoteText"/>
      </w:pPr>
      <w:r>
        <w:rPr>
          <w:rStyle w:val="FootnoteReference"/>
        </w:rPr>
        <w:footnoteRef/>
      </w:r>
      <w:r>
        <w:t xml:space="preserve"> UN Human Rights Committee, </w:t>
      </w:r>
      <w:r w:rsidRPr="008468BA">
        <w:t>General Comment 18, 10 November 1989</w:t>
      </w:r>
      <w:r>
        <w:t>, 7.</w:t>
      </w:r>
    </w:p>
  </w:footnote>
  <w:footnote w:id="35">
    <w:p w14:paraId="48BB8F8E" w14:textId="77777777" w:rsidR="007920E5" w:rsidRDefault="007920E5" w:rsidP="00DB7A37">
      <w:pPr>
        <w:pStyle w:val="FootnoteText"/>
      </w:pPr>
      <w:r>
        <w:rPr>
          <w:rStyle w:val="FootnoteReference"/>
        </w:rPr>
        <w:footnoteRef/>
      </w:r>
      <w:r>
        <w:t xml:space="preserve"> </w:t>
      </w:r>
      <w:r w:rsidRPr="007355F2">
        <w:rPr>
          <w:rFonts w:cs="Calibri"/>
          <w:i/>
          <w:szCs w:val="22"/>
        </w:rPr>
        <w:t xml:space="preserve">ZZ v Secretary, Department of Justice &amp; Department of Transport </w:t>
      </w:r>
      <w:r w:rsidRPr="007355F2">
        <w:rPr>
          <w:rFonts w:cs="Calibri"/>
          <w:szCs w:val="22"/>
        </w:rPr>
        <w:t xml:space="preserve">[2013] VSC 267 </w:t>
      </w:r>
      <w:r>
        <w:t>[(</w:t>
      </w:r>
      <w:r w:rsidRPr="00A85F7F">
        <w:rPr>
          <w:i/>
        </w:rPr>
        <w:t>ZZ v Secretary</w:t>
      </w:r>
      <w:r>
        <w:t>) [86].</w:t>
      </w:r>
    </w:p>
  </w:footnote>
  <w:footnote w:id="36">
    <w:p w14:paraId="5E7F07C3" w14:textId="77777777" w:rsidR="007920E5" w:rsidRDefault="007920E5" w:rsidP="00DB7A37">
      <w:pPr>
        <w:pStyle w:val="FootnoteText"/>
      </w:pPr>
      <w:r>
        <w:rPr>
          <w:rStyle w:val="FootnoteReference"/>
        </w:rPr>
        <w:footnoteRef/>
      </w:r>
      <w:r>
        <w:t xml:space="preserve"> </w:t>
      </w:r>
      <w:r>
        <w:rPr>
          <w:rFonts w:cs="Calibri"/>
          <w:szCs w:val="22"/>
        </w:rPr>
        <w:t xml:space="preserve">Ibid, </w:t>
      </w:r>
      <w:r>
        <w:t>[87].</w:t>
      </w:r>
    </w:p>
  </w:footnote>
  <w:footnote w:id="37">
    <w:p w14:paraId="4A59A120" w14:textId="77777777" w:rsidR="007920E5" w:rsidRDefault="007920E5" w:rsidP="00DB7A37">
      <w:pPr>
        <w:pStyle w:val="FootnoteText"/>
      </w:pPr>
      <w:r>
        <w:rPr>
          <w:rStyle w:val="FootnoteReference"/>
        </w:rPr>
        <w:footnoteRef/>
      </w:r>
      <w:r w:rsidRPr="007E3BC7">
        <w:t xml:space="preserve"> </w:t>
      </w:r>
      <w:r w:rsidRPr="00A85F7F">
        <w:rPr>
          <w:rFonts w:cs="Calibri"/>
          <w:szCs w:val="22"/>
        </w:rPr>
        <w:t>Ibid,</w:t>
      </w:r>
      <w:r>
        <w:rPr>
          <w:rFonts w:cs="Calibri"/>
          <w:i/>
          <w:szCs w:val="22"/>
        </w:rPr>
        <w:t xml:space="preserve"> </w:t>
      </w:r>
      <w:r>
        <w:t>[94].</w:t>
      </w:r>
    </w:p>
  </w:footnote>
  <w:footnote w:id="38">
    <w:p w14:paraId="29903D6A" w14:textId="5C8977CA" w:rsidR="007920E5" w:rsidRDefault="007920E5">
      <w:pPr>
        <w:pStyle w:val="FootnoteText"/>
      </w:pPr>
      <w:r>
        <w:rPr>
          <w:rStyle w:val="FootnoteReference"/>
        </w:rPr>
        <w:footnoteRef/>
      </w:r>
      <w:r>
        <w:t xml:space="preserve"> Note that the AHRC Regulations 1989 use the term ‘criminal record’. These Regulations are due to sunset in November 2019 and are under review by the Commonwealth Attorney-General’s department. The Attorney General’s Department has recommended that ‘criminal record’ be amended to ‘irrelevant criminal record’: see </w:t>
      </w:r>
      <w:r w:rsidRPr="004568E2">
        <w:rPr>
          <w:i/>
        </w:rPr>
        <w:t>Review of the Australian Human Rights Commission Regulations 1989 and the Disability Discrimination Regulations 1996: Consultation Paper</w:t>
      </w:r>
      <w:r>
        <w:t xml:space="preserve"> at </w:t>
      </w:r>
      <w:r w:rsidRPr="004568E2">
        <w:t>https://www.ag.gov.au/Consultations/Pages/Review-of-the-Australian-Human-Rights-Commission-Regulations-1989-and-the-Disability-Discrimination-Regulations-1996.aspx</w:t>
      </w:r>
    </w:p>
  </w:footnote>
  <w:footnote w:id="39">
    <w:p w14:paraId="187A81EA" w14:textId="025AD30F" w:rsidR="007920E5" w:rsidRDefault="007920E5">
      <w:pPr>
        <w:pStyle w:val="FootnoteText"/>
      </w:pPr>
      <w:r>
        <w:rPr>
          <w:rStyle w:val="FootnoteReference"/>
        </w:rPr>
        <w:footnoteRef/>
      </w:r>
      <w:r>
        <w:t xml:space="preserve"> </w:t>
      </w:r>
      <w:r w:rsidRPr="00A344A7">
        <w:t>in 2006</w:t>
      </w:r>
      <w:r>
        <w:t xml:space="preserve">, </w:t>
      </w:r>
      <w:r w:rsidRPr="00A344A7">
        <w:t xml:space="preserve">the ACT’s </w:t>
      </w:r>
      <w:r w:rsidRPr="00347208">
        <w:rPr>
          <w:i/>
        </w:rPr>
        <w:t>Discrimination Act 1991</w:t>
      </w:r>
      <w:r w:rsidRPr="00A344A7">
        <w:t xml:space="preserve"> was amended to confirm that an irrelevant criminal record included “the person has a spent conviction or an extinguished conviction, with the meaning of the Spent Convictions Act 2000”</w:t>
      </w:r>
      <w:r>
        <w:t xml:space="preserve">: see </w:t>
      </w:r>
      <w:r w:rsidRPr="00347208">
        <w:rPr>
          <w:i/>
        </w:rPr>
        <w:t xml:space="preserve">Discrimination Act 1991 </w:t>
      </w:r>
      <w:r>
        <w:t xml:space="preserve">(ACT), Dictionary; </w:t>
      </w:r>
      <w:r w:rsidRPr="00347208">
        <w:rPr>
          <w:i/>
        </w:rPr>
        <w:t>Anti-Discrimination Act 1992</w:t>
      </w:r>
      <w:r>
        <w:t xml:space="preserve"> (NT), s 4(1).</w:t>
      </w:r>
    </w:p>
  </w:footnote>
  <w:footnote w:id="40">
    <w:p w14:paraId="295DA3EC" w14:textId="53FE4180" w:rsidR="007920E5" w:rsidRDefault="007920E5" w:rsidP="00475C71">
      <w:pPr>
        <w:pStyle w:val="FootnoteText"/>
      </w:pPr>
      <w:r>
        <w:rPr>
          <w:rStyle w:val="FootnoteReference"/>
        </w:rPr>
        <w:footnoteRef/>
      </w:r>
      <w:r>
        <w:t xml:space="preserve"> Assuming the scheme determined that a </w:t>
      </w:r>
      <w:r w:rsidR="00B64DDE">
        <w:t>10-year</w:t>
      </w:r>
      <w:r>
        <w:t xml:space="preserve"> period was the appropriate time-frame for a conviction to become spent.</w:t>
      </w:r>
    </w:p>
  </w:footnote>
  <w:footnote w:id="41">
    <w:p w14:paraId="495B57E5" w14:textId="5B667DF0" w:rsidR="007920E5" w:rsidRPr="006B1B83" w:rsidRDefault="007920E5" w:rsidP="006B1B83">
      <w:pPr>
        <w:pStyle w:val="FootnoteText"/>
        <w:rPr>
          <w:i/>
        </w:rPr>
      </w:pPr>
      <w:r>
        <w:rPr>
          <w:rStyle w:val="FootnoteReference"/>
        </w:rPr>
        <w:footnoteRef/>
      </w:r>
      <w:r>
        <w:t xml:space="preserve"> </w:t>
      </w:r>
      <w:r w:rsidRPr="00E3187E">
        <w:t>Gardner Review (2008), p 103.</w:t>
      </w:r>
      <w:r w:rsidR="00E3187E" w:rsidRPr="00E3187E">
        <w:t xml:space="preserve"> In 2009 the Scrutiny of Acts and Regulations Committee considered the introduction of an attribute for irrelevant criminal records. At that time, it was considered unnecessary to include an ‘inherent requirements test’ to the attribute of ‘irrelevant criminal record’, however, the committee did make recommendations regarding an inherent requirements exception for other parts of the Act</w:t>
      </w:r>
      <w:r w:rsidR="006B1B83">
        <w:t xml:space="preserve">: </w:t>
      </w:r>
      <w:r w:rsidR="000C049B">
        <w:t xml:space="preserve">Parliament of Victoria, </w:t>
      </w:r>
      <w:r w:rsidR="006B1B83">
        <w:t xml:space="preserve">Scrutiny of Acts and Regulations Committee (2009) </w:t>
      </w:r>
      <w:r w:rsidR="006B1B83" w:rsidRPr="006B1B83">
        <w:rPr>
          <w:i/>
        </w:rPr>
        <w:t>Exceptions and Exemptions to the Equal Opportunity Act 1995 – Final report.</w:t>
      </w:r>
    </w:p>
  </w:footnote>
  <w:footnote w:id="42">
    <w:p w14:paraId="01281C68" w14:textId="1E0D1DDB" w:rsidR="007920E5" w:rsidRDefault="007920E5" w:rsidP="00DB7A37">
      <w:pPr>
        <w:pStyle w:val="FootnoteText"/>
      </w:pPr>
      <w:r>
        <w:rPr>
          <w:rStyle w:val="FootnoteReference"/>
        </w:rPr>
        <w:footnoteRef/>
      </w:r>
      <w:r>
        <w:t xml:space="preserve"> The Commission notes a similar recommendation was also put forward in the </w:t>
      </w:r>
      <w:r w:rsidRPr="00A85F7F">
        <w:t>Gardner Review</w:t>
      </w:r>
      <w:r>
        <w:t xml:space="preserve"> (2008)</w:t>
      </w:r>
      <w:r w:rsidRPr="00D93ED3">
        <w:t>,</w:t>
      </w:r>
      <w:r>
        <w:t xml:space="preserve"> </w:t>
      </w:r>
      <w:r w:rsidRPr="00D93ED3">
        <w:t>99.</w:t>
      </w:r>
      <w:r>
        <w:t xml:space="preserve">  </w:t>
      </w:r>
    </w:p>
  </w:footnote>
  <w:footnote w:id="43">
    <w:p w14:paraId="15B9AB36" w14:textId="5C23A629" w:rsidR="007920E5" w:rsidRDefault="007920E5">
      <w:pPr>
        <w:pStyle w:val="FootnoteText"/>
      </w:pPr>
      <w:r>
        <w:rPr>
          <w:rStyle w:val="FootnoteReference"/>
        </w:rPr>
        <w:footnoteRef/>
      </w:r>
      <w:r>
        <w:t xml:space="preserve"> </w:t>
      </w:r>
      <w:r w:rsidRPr="004A6954">
        <w:rPr>
          <w:i/>
        </w:rPr>
        <w:t>E</w:t>
      </w:r>
      <w:r w:rsidR="00B64DDE" w:rsidRPr="004A6954">
        <w:rPr>
          <w:i/>
        </w:rPr>
        <w:t>qual Opportunity Act 2010</w:t>
      </w:r>
      <w:r w:rsidR="00B64DDE">
        <w:t xml:space="preserve"> (Vic)</w:t>
      </w:r>
      <w:r>
        <w:t>, s 148.</w:t>
      </w:r>
    </w:p>
  </w:footnote>
  <w:footnote w:id="44">
    <w:p w14:paraId="7AD676D4" w14:textId="77777777" w:rsidR="007920E5" w:rsidRDefault="007920E5" w:rsidP="00DB7A37">
      <w:pPr>
        <w:pStyle w:val="FootnoteText"/>
      </w:pPr>
      <w:r>
        <w:rPr>
          <w:rStyle w:val="FootnoteReference"/>
        </w:rPr>
        <w:footnoteRef/>
      </w:r>
      <w:r>
        <w:t xml:space="preserve"> In 2006, section 2 of </w:t>
      </w:r>
      <w:r w:rsidRPr="00A85F7F">
        <w:rPr>
          <w:i/>
        </w:rPr>
        <w:t>the Discrimination Act 1991</w:t>
      </w:r>
      <w:r>
        <w:t xml:space="preserve"> (ACT) was added to include a definition of ‘irrelevant criminal record’ to include a record relating to an offence or an alleged offence if (f) “the person has a spent conviction or an extinguished conviction within the meaning of the </w:t>
      </w:r>
      <w:r w:rsidRPr="00150692">
        <w:rPr>
          <w:i/>
        </w:rPr>
        <w:t>Spent Convictions Act</w:t>
      </w:r>
      <w:r>
        <w:t xml:space="preserve"> 2000, for the offence”.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5C45AD" w14:textId="77777777" w:rsidR="007920E5" w:rsidRDefault="007920E5">
    <w:pPr>
      <w:pStyle w:val="Header"/>
    </w:pPr>
    <w:r>
      <w:rPr>
        <w:noProof/>
      </w:rPr>
      <mc:AlternateContent>
        <mc:Choice Requires="wps">
          <w:drawing>
            <wp:anchor distT="0" distB="0" distL="114300" distR="114300" simplePos="0" relativeHeight="251659264" behindDoc="0" locked="0" layoutInCell="1" allowOverlap="1" wp14:anchorId="63C0B902" wp14:editId="738670B1">
              <wp:simplePos x="0" y="0"/>
              <wp:positionH relativeFrom="page">
                <wp:align>left</wp:align>
              </wp:positionH>
              <wp:positionV relativeFrom="paragraph">
                <wp:posOffset>4567894</wp:posOffset>
              </wp:positionV>
              <wp:extent cx="7658100" cy="5166360"/>
              <wp:effectExtent l="0" t="0" r="19050" b="15240"/>
              <wp:wrapNone/>
              <wp:docPr id="7"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58100" cy="5166360"/>
                      </a:xfrm>
                      <a:prstGeom prst="rect">
                        <a:avLst/>
                      </a:prstGeom>
                      <a:solidFill>
                        <a:srgbClr val="F3F4EA"/>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2D642A3" id="Rectangle 7" o:spid="_x0000_s1026" style="position:absolute;margin-left:0;margin-top:359.7pt;width:603pt;height:406.8pt;z-index:251659264;visibility:visible;mso-wrap-style:square;mso-width-percent:0;mso-height-percent:0;mso-wrap-distance-left:9pt;mso-wrap-distance-top:0;mso-wrap-distance-right:9pt;mso-wrap-distance-bottom:0;mso-position-horizontal:left;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" fillcolor="#f3f4ea">
              <w10:wrap anchorx="page"/>
            </v:rect>
          </w:pict>
        </mc:Fallback>
      </mc:AlternateContent>
    </w:r>
    <w:r w:rsidRPr="00E41201">
      <w:rPr>
        <w:noProof/>
      </w:rPr>
      <mc:AlternateContent>
        <mc:Choice Requires="wps">
          <w:drawing>
            <wp:anchor distT="0" distB="0" distL="114300" distR="114300" simplePos="0" relativeHeight="251658240" behindDoc="0" locked="0" layoutInCell="1" allowOverlap="1" wp14:anchorId="079E36E2" wp14:editId="5BAC23E3">
              <wp:simplePos x="0" y="0"/>
              <wp:positionH relativeFrom="page">
                <wp:align>left</wp:align>
              </wp:positionH>
              <wp:positionV relativeFrom="paragraph">
                <wp:posOffset>-456414</wp:posOffset>
              </wp:positionV>
              <wp:extent cx="7658100" cy="5029200"/>
              <wp:effectExtent l="0" t="0" r="0" b="0"/>
              <wp:wrapNone/>
              <wp:docPr id="6"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58100" cy="5029200"/>
                      </a:xfrm>
                      <a:prstGeom prst="rect">
                        <a:avLst/>
                      </a:prstGeom>
                      <a:solidFill>
                        <a:srgbClr val="00A5E6"/>
                      </a:solidFill>
                      <a:ln>
                        <a:noFill/>
                      </a:ln>
                      <a:extLst>
                        <a:ext uri="{91240B29-F687-4f45-9708-019B960494DF}"/>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0146DAB" id="Rectangle 6" o:spid="_x0000_s1026" style="position:absolute;margin-left:0;margin-top:-35.95pt;width:603pt;height:396pt;z-index:251658240;visibility:visible;mso-wrap-style:square;mso-width-percent:0;mso-height-percent:0;mso-wrap-distance-left:9pt;mso-wrap-distance-top:0;mso-wrap-distance-right:9pt;mso-wrap-distance-bottom:0;mso-position-horizontal:left;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" fillcolor="#00a5e6" stroked="f">
              <w10:wrap anchorx="page"/>
            </v:rect>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1C0EB2" w14:textId="77777777" w:rsidR="007920E5" w:rsidRDefault="007920E5" w:rsidP="00DD35E1">
    <w:pPr>
      <w:pStyle w:val="Headerlandscape"/>
    </w:pPr>
    <w:r>
      <w:t>Header</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4F7801"/>
    <w:multiLevelType w:val="multilevel"/>
    <w:tmpl w:val="904AEB3A"/>
    <w:numStyleLink w:val="TableListNumbermaster"/>
  </w:abstractNum>
  <w:abstractNum w:abstractNumId="1" w15:restartNumberingAfterBreak="0">
    <w:nsid w:val="0C4975A0"/>
    <w:multiLevelType w:val="hybridMultilevel"/>
    <w:tmpl w:val="B0287C3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F167765"/>
    <w:multiLevelType w:val="multilevel"/>
    <w:tmpl w:val="35266F38"/>
    <w:styleLink w:val="AppendixHeadingmaster"/>
    <w:lvl w:ilvl="0">
      <w:start w:val="1"/>
      <w:numFmt w:val="upperLetter"/>
      <w:pStyle w:val="AppendixHeading1"/>
      <w:lvlText w:val="Appendix %1"/>
      <w:lvlJc w:val="left"/>
      <w:pPr>
        <w:ind w:left="2325" w:hanging="2325"/>
      </w:pPr>
      <w:rPr>
        <w:rFonts w:ascii="Arial" w:hAnsi="Arial" w:hint="default"/>
        <w:b w:val="0"/>
        <w:i w:val="0"/>
        <w:color w:val="auto"/>
        <w:sz w:val="48"/>
      </w:rPr>
    </w:lvl>
    <w:lvl w:ilvl="1">
      <w:start w:val="1"/>
      <w:numFmt w:val="decimal"/>
      <w:pStyle w:val="AppendixHeading2"/>
      <w:lvlText w:val="%1.%2."/>
      <w:lvlJc w:val="left"/>
      <w:pPr>
        <w:ind w:left="1021" w:hanging="1021"/>
      </w:pPr>
      <w:rPr>
        <w:rFonts w:hint="default"/>
        <w:b/>
        <w:i w:val="0"/>
        <w:sz w:val="36"/>
      </w:rPr>
    </w:lvl>
    <w:lvl w:ilvl="2">
      <w:start w:val="1"/>
      <w:numFmt w:val="none"/>
      <w:lvlText w:val="%3"/>
      <w:lvlJc w:val="left"/>
      <w:pPr>
        <w:ind w:left="0" w:firstLine="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15:restartNumberingAfterBreak="0">
    <w:nsid w:val="17A83CBC"/>
    <w:multiLevelType w:val="hybridMultilevel"/>
    <w:tmpl w:val="8D7415CA"/>
    <w:lvl w:ilvl="0" w:tplc="495E339C">
      <w:numFmt w:val="bullet"/>
      <w:lvlText w:val="-"/>
      <w:lvlJc w:val="left"/>
      <w:pPr>
        <w:ind w:left="430" w:hanging="360"/>
      </w:pPr>
      <w:rPr>
        <w:rFonts w:ascii="Arial" w:eastAsia="Arial Unicode MS" w:hAnsi="Arial" w:cs="Arial" w:hint="default"/>
      </w:rPr>
    </w:lvl>
    <w:lvl w:ilvl="1" w:tplc="0C090003" w:tentative="1">
      <w:start w:val="1"/>
      <w:numFmt w:val="bullet"/>
      <w:lvlText w:val="o"/>
      <w:lvlJc w:val="left"/>
      <w:pPr>
        <w:ind w:left="1150" w:hanging="360"/>
      </w:pPr>
      <w:rPr>
        <w:rFonts w:ascii="Courier New" w:hAnsi="Courier New" w:cs="Courier New" w:hint="default"/>
      </w:rPr>
    </w:lvl>
    <w:lvl w:ilvl="2" w:tplc="0C090005" w:tentative="1">
      <w:start w:val="1"/>
      <w:numFmt w:val="bullet"/>
      <w:lvlText w:val=""/>
      <w:lvlJc w:val="left"/>
      <w:pPr>
        <w:ind w:left="1870" w:hanging="360"/>
      </w:pPr>
      <w:rPr>
        <w:rFonts w:ascii="Wingdings" w:hAnsi="Wingdings" w:hint="default"/>
      </w:rPr>
    </w:lvl>
    <w:lvl w:ilvl="3" w:tplc="0C090001" w:tentative="1">
      <w:start w:val="1"/>
      <w:numFmt w:val="bullet"/>
      <w:lvlText w:val=""/>
      <w:lvlJc w:val="left"/>
      <w:pPr>
        <w:ind w:left="2590" w:hanging="360"/>
      </w:pPr>
      <w:rPr>
        <w:rFonts w:ascii="Symbol" w:hAnsi="Symbol" w:hint="default"/>
      </w:rPr>
    </w:lvl>
    <w:lvl w:ilvl="4" w:tplc="0C090003" w:tentative="1">
      <w:start w:val="1"/>
      <w:numFmt w:val="bullet"/>
      <w:lvlText w:val="o"/>
      <w:lvlJc w:val="left"/>
      <w:pPr>
        <w:ind w:left="3310" w:hanging="360"/>
      </w:pPr>
      <w:rPr>
        <w:rFonts w:ascii="Courier New" w:hAnsi="Courier New" w:cs="Courier New" w:hint="default"/>
      </w:rPr>
    </w:lvl>
    <w:lvl w:ilvl="5" w:tplc="0C090005" w:tentative="1">
      <w:start w:val="1"/>
      <w:numFmt w:val="bullet"/>
      <w:lvlText w:val=""/>
      <w:lvlJc w:val="left"/>
      <w:pPr>
        <w:ind w:left="4030" w:hanging="360"/>
      </w:pPr>
      <w:rPr>
        <w:rFonts w:ascii="Wingdings" w:hAnsi="Wingdings" w:hint="default"/>
      </w:rPr>
    </w:lvl>
    <w:lvl w:ilvl="6" w:tplc="0C090001" w:tentative="1">
      <w:start w:val="1"/>
      <w:numFmt w:val="bullet"/>
      <w:lvlText w:val=""/>
      <w:lvlJc w:val="left"/>
      <w:pPr>
        <w:ind w:left="4750" w:hanging="360"/>
      </w:pPr>
      <w:rPr>
        <w:rFonts w:ascii="Symbol" w:hAnsi="Symbol" w:hint="default"/>
      </w:rPr>
    </w:lvl>
    <w:lvl w:ilvl="7" w:tplc="0C090003" w:tentative="1">
      <w:start w:val="1"/>
      <w:numFmt w:val="bullet"/>
      <w:lvlText w:val="o"/>
      <w:lvlJc w:val="left"/>
      <w:pPr>
        <w:ind w:left="5470" w:hanging="360"/>
      </w:pPr>
      <w:rPr>
        <w:rFonts w:ascii="Courier New" w:hAnsi="Courier New" w:cs="Courier New" w:hint="default"/>
      </w:rPr>
    </w:lvl>
    <w:lvl w:ilvl="8" w:tplc="0C090005" w:tentative="1">
      <w:start w:val="1"/>
      <w:numFmt w:val="bullet"/>
      <w:lvlText w:val=""/>
      <w:lvlJc w:val="left"/>
      <w:pPr>
        <w:ind w:left="6190" w:hanging="360"/>
      </w:pPr>
      <w:rPr>
        <w:rFonts w:ascii="Wingdings" w:hAnsi="Wingdings" w:hint="default"/>
      </w:rPr>
    </w:lvl>
  </w:abstractNum>
  <w:abstractNum w:abstractNumId="4" w15:restartNumberingAfterBreak="0">
    <w:nsid w:val="1A753D77"/>
    <w:multiLevelType w:val="multilevel"/>
    <w:tmpl w:val="442A7A30"/>
    <w:styleLink w:val="Headingsmaster"/>
    <w:lvl w:ilvl="0">
      <w:start w:val="1"/>
      <w:numFmt w:val="decimal"/>
      <w:pStyle w:val="Heading1"/>
      <w:lvlText w:val="%1."/>
      <w:lvlJc w:val="left"/>
      <w:pPr>
        <w:ind w:left="1021" w:hanging="1021"/>
      </w:pPr>
      <w:rPr>
        <w:rFonts w:hint="default"/>
      </w:rPr>
    </w:lvl>
    <w:lvl w:ilvl="1">
      <w:start w:val="1"/>
      <w:numFmt w:val="decimal"/>
      <w:pStyle w:val="Heading2"/>
      <w:lvlText w:val="%1.%2"/>
      <w:lvlJc w:val="left"/>
      <w:pPr>
        <w:ind w:left="1021" w:hanging="1021"/>
      </w:pPr>
      <w:rPr>
        <w:rFonts w:hint="default"/>
      </w:rPr>
    </w:lvl>
    <w:lvl w:ilvl="2">
      <w:start w:val="1"/>
      <w:numFmt w:val="decimal"/>
      <w:pStyle w:val="Heading3"/>
      <w:lvlText w:val="%1.%2.%3"/>
      <w:lvlJc w:val="left"/>
      <w:pPr>
        <w:ind w:left="1021" w:hanging="1021"/>
      </w:pPr>
      <w:rPr>
        <w:rFonts w:hint="default"/>
      </w:rPr>
    </w:lvl>
    <w:lvl w:ilvl="3">
      <w:start w:val="1"/>
      <w:numFmt w:val="decimal"/>
      <w:lvlText w:val="%1.%2.%3.%4."/>
      <w:lvlJc w:val="left"/>
      <w:pPr>
        <w:tabs>
          <w:tab w:val="num" w:pos="1021"/>
        </w:tabs>
        <w:ind w:left="1021" w:hanging="1021"/>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1F082FEE"/>
    <w:multiLevelType w:val="multilevel"/>
    <w:tmpl w:val="904AEB3A"/>
    <w:styleLink w:val="TableListNumbermaster"/>
    <w:lvl w:ilvl="0">
      <w:start w:val="1"/>
      <w:numFmt w:val="decimal"/>
      <w:pStyle w:val="TableListNumber"/>
      <w:lvlText w:val="%1."/>
      <w:lvlJc w:val="left"/>
      <w:pPr>
        <w:ind w:left="360" w:hanging="360"/>
      </w:pPr>
      <w:rPr>
        <w:rFonts w:hint="default"/>
        <w:color w:val="auto"/>
      </w:rPr>
    </w:lvl>
    <w:lvl w:ilvl="1">
      <w:start w:val="1"/>
      <w:numFmt w:val="lowerLetter"/>
      <w:pStyle w:val="TableListNumber2"/>
      <w:lvlText w:val="%2."/>
      <w:lvlJc w:val="left"/>
      <w:pPr>
        <w:ind w:left="720" w:hanging="360"/>
      </w:pPr>
      <w:rPr>
        <w:rFonts w:hint="default"/>
        <w:color w:val="auto"/>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15:restartNumberingAfterBreak="0">
    <w:nsid w:val="242839DB"/>
    <w:multiLevelType w:val="multilevel"/>
    <w:tmpl w:val="A1224394"/>
    <w:styleLink w:val="ListLegalmaster"/>
    <w:lvl w:ilvl="0">
      <w:start w:val="1"/>
      <w:numFmt w:val="decimal"/>
      <w:pStyle w:val="ListLegal"/>
      <w:lvlText w:val="%1."/>
      <w:lvlJc w:val="left"/>
      <w:pPr>
        <w:ind w:left="357" w:hanging="357"/>
      </w:pPr>
      <w:rPr>
        <w:rFonts w:ascii="Arial" w:hAnsi="Arial" w:hint="default"/>
        <w:b w:val="0"/>
        <w:i w:val="0"/>
        <w:color w:val="auto"/>
        <w:sz w:val="20"/>
      </w:rPr>
    </w:lvl>
    <w:lvl w:ilvl="1">
      <w:start w:val="1"/>
      <w:numFmt w:val="lowerLetter"/>
      <w:pStyle w:val="ListLegal2"/>
      <w:lvlText w:val="(%2)"/>
      <w:lvlJc w:val="left"/>
      <w:pPr>
        <w:tabs>
          <w:tab w:val="num" w:pos="720"/>
        </w:tabs>
        <w:ind w:left="714" w:hanging="357"/>
      </w:pPr>
      <w:rPr>
        <w:rFonts w:ascii="Arial" w:hAnsi="Arial" w:hint="default"/>
        <w:b w:val="0"/>
        <w:i w:val="0"/>
        <w:color w:val="auto"/>
        <w:sz w:val="20"/>
      </w:rPr>
    </w:lvl>
    <w:lvl w:ilvl="2">
      <w:start w:val="1"/>
      <w:numFmt w:val="lowerRoman"/>
      <w:pStyle w:val="ListLegal3"/>
      <w:lvlText w:val="(%3)"/>
      <w:lvlJc w:val="left"/>
      <w:pPr>
        <w:ind w:left="1435" w:hanging="721"/>
      </w:pPr>
      <w:rPr>
        <w:rFonts w:ascii="Arial" w:hAnsi="Arial" w:hint="default"/>
        <w:b w:val="0"/>
        <w:i w:val="0"/>
        <w:color w:val="auto"/>
        <w:sz w:val="20"/>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 w15:restartNumberingAfterBreak="0">
    <w:nsid w:val="27FB6F5D"/>
    <w:multiLevelType w:val="multilevel"/>
    <w:tmpl w:val="540CA368"/>
    <w:numStyleLink w:val="ListBulletmaster"/>
  </w:abstractNum>
  <w:abstractNum w:abstractNumId="8" w15:restartNumberingAfterBreak="0">
    <w:nsid w:val="2BDC4A7E"/>
    <w:multiLevelType w:val="multilevel"/>
    <w:tmpl w:val="35266F38"/>
    <w:numStyleLink w:val="AppendixHeadingmaster"/>
  </w:abstractNum>
  <w:abstractNum w:abstractNumId="9" w15:restartNumberingAfterBreak="0">
    <w:nsid w:val="2D9328E2"/>
    <w:multiLevelType w:val="multilevel"/>
    <w:tmpl w:val="69C6531C"/>
    <w:styleLink w:val="ListNumbermaster"/>
    <w:lvl w:ilvl="0">
      <w:start w:val="1"/>
      <w:numFmt w:val="decimal"/>
      <w:pStyle w:val="ListNumber"/>
      <w:lvlText w:val="%1."/>
      <w:lvlJc w:val="left"/>
      <w:pPr>
        <w:ind w:left="360" w:hanging="360"/>
      </w:pPr>
      <w:rPr>
        <w:rFonts w:ascii="Arial" w:hAnsi="Arial" w:hint="default"/>
        <w:color w:val="auto"/>
        <w:sz w:val="24"/>
      </w:rPr>
    </w:lvl>
    <w:lvl w:ilvl="1">
      <w:start w:val="1"/>
      <w:numFmt w:val="lowerLetter"/>
      <w:pStyle w:val="ListNumber2"/>
      <w:lvlText w:val="%2."/>
      <w:lvlJc w:val="left"/>
      <w:pPr>
        <w:ind w:left="720" w:hanging="360"/>
      </w:pPr>
      <w:rPr>
        <w:rFonts w:ascii="Arial" w:hAnsi="Arial" w:hint="default"/>
        <w:color w:val="auto"/>
        <w:sz w:val="24"/>
      </w:rPr>
    </w:lvl>
    <w:lvl w:ilvl="2">
      <w:start w:val="1"/>
      <w:numFmt w:val="lowerRoman"/>
      <w:pStyle w:val="ListNumber3"/>
      <w:lvlText w:val="%3."/>
      <w:lvlJc w:val="left"/>
      <w:pPr>
        <w:ind w:left="1080" w:hanging="360"/>
      </w:pPr>
      <w:rPr>
        <w:rFonts w:ascii="Arial" w:hAnsi="Arial" w:hint="default"/>
        <w:color w:val="auto"/>
        <w:sz w:val="24"/>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 w15:restartNumberingAfterBreak="0">
    <w:nsid w:val="47D50479"/>
    <w:multiLevelType w:val="multilevel"/>
    <w:tmpl w:val="28E66356"/>
    <w:styleLink w:val="ListAlphanumericmaster"/>
    <w:lvl w:ilvl="0">
      <w:start w:val="1"/>
      <w:numFmt w:val="lowerLetter"/>
      <w:lvlText w:val="%1)"/>
      <w:lvlJc w:val="left"/>
      <w:pPr>
        <w:ind w:left="357" w:hanging="357"/>
      </w:pPr>
      <w:rPr>
        <w:rFonts w:hint="default"/>
      </w:rPr>
    </w:lvl>
    <w:lvl w:ilvl="1">
      <w:start w:val="1"/>
      <w:numFmt w:val="lowerRoman"/>
      <w:lvlText w:val="%2)"/>
      <w:lvlJc w:val="left"/>
      <w:pPr>
        <w:ind w:left="714" w:hanging="357"/>
      </w:pPr>
      <w:rPr>
        <w:rFonts w:hint="default"/>
      </w:rPr>
    </w:lvl>
    <w:lvl w:ilvl="2">
      <w:start w:val="1"/>
      <w:numFmt w:val="lowerRoman"/>
      <w:lvlText w:val="(%3)"/>
      <w:lvlJc w:val="left"/>
      <w:pPr>
        <w:ind w:left="1361" w:hanging="454"/>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480D5974"/>
    <w:multiLevelType w:val="hybridMultilevel"/>
    <w:tmpl w:val="FE0C9D32"/>
    <w:lvl w:ilvl="0" w:tplc="0C090001">
      <w:start w:val="1"/>
      <w:numFmt w:val="bullet"/>
      <w:lvlText w:val=""/>
      <w:lvlJc w:val="left"/>
      <w:pPr>
        <w:ind w:left="780" w:hanging="360"/>
      </w:pPr>
      <w:rPr>
        <w:rFonts w:ascii="Symbol" w:hAnsi="Symbol" w:hint="default"/>
      </w:rPr>
    </w:lvl>
    <w:lvl w:ilvl="1" w:tplc="0C090003" w:tentative="1">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abstractNum w:abstractNumId="12" w15:restartNumberingAfterBreak="0">
    <w:nsid w:val="4DDF3402"/>
    <w:multiLevelType w:val="hybridMultilevel"/>
    <w:tmpl w:val="10DADDFE"/>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57A51FC2"/>
    <w:multiLevelType w:val="multilevel"/>
    <w:tmpl w:val="3C58879C"/>
    <w:styleLink w:val="TableListBulletmaster"/>
    <w:lvl w:ilvl="0">
      <w:start w:val="1"/>
      <w:numFmt w:val="bullet"/>
      <w:pStyle w:val="TableListBullet"/>
      <w:lvlText w:val=""/>
      <w:lvlJc w:val="left"/>
      <w:pPr>
        <w:ind w:left="340" w:hanging="283"/>
      </w:pPr>
      <w:rPr>
        <w:rFonts w:ascii="Symbol" w:hAnsi="Symbol" w:hint="default"/>
        <w:color w:val="auto"/>
      </w:rPr>
    </w:lvl>
    <w:lvl w:ilvl="1">
      <w:start w:val="1"/>
      <w:numFmt w:val="bullet"/>
      <w:pStyle w:val="TableListBullet2"/>
      <w:lvlText w:val=""/>
      <w:lvlJc w:val="left"/>
      <w:pPr>
        <w:ind w:left="567" w:hanging="227"/>
      </w:pPr>
      <w:rPr>
        <w:rFonts w:ascii="Symbol" w:hAnsi="Symbol" w:hint="default"/>
        <w:color w:val="auto"/>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15:restartNumberingAfterBreak="0">
    <w:nsid w:val="58BE2775"/>
    <w:multiLevelType w:val="hybridMultilevel"/>
    <w:tmpl w:val="BFF0DB4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5E9007AA"/>
    <w:multiLevelType w:val="hybridMultilevel"/>
    <w:tmpl w:val="8DA68FE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62047795"/>
    <w:multiLevelType w:val="multilevel"/>
    <w:tmpl w:val="7CBCBEF2"/>
    <w:lvl w:ilvl="0">
      <w:start w:val="1"/>
      <w:numFmt w:val="decimal"/>
      <w:lvlText w:val="%1"/>
      <w:lvlJc w:val="left"/>
      <w:pPr>
        <w:tabs>
          <w:tab w:val="num" w:pos="1021"/>
        </w:tabs>
        <w:ind w:left="1021" w:hanging="1021"/>
      </w:pPr>
      <w:rPr>
        <w:rFonts w:hint="default"/>
      </w:rPr>
    </w:lvl>
    <w:lvl w:ilvl="1">
      <w:start w:val="1"/>
      <w:numFmt w:val="decimal"/>
      <w:lvlText w:val="%1.%2"/>
      <w:lvlJc w:val="left"/>
      <w:pPr>
        <w:tabs>
          <w:tab w:val="num" w:pos="1021"/>
        </w:tabs>
        <w:ind w:left="1021" w:hanging="1021"/>
      </w:pPr>
      <w:rPr>
        <w:rFonts w:hint="default"/>
      </w:rPr>
    </w:lvl>
    <w:lvl w:ilvl="2">
      <w:start w:val="1"/>
      <w:numFmt w:val="decimal"/>
      <w:lvlText w:val="%1.%2.%3"/>
      <w:lvlJc w:val="left"/>
      <w:pPr>
        <w:tabs>
          <w:tab w:val="num" w:pos="1021"/>
        </w:tabs>
        <w:ind w:left="1021" w:hanging="1021"/>
      </w:pPr>
      <w:rPr>
        <w:rFonts w:hint="default"/>
      </w:rPr>
    </w:lvl>
    <w:lvl w:ilvl="3">
      <w:start w:val="1"/>
      <w:numFmt w:val="decimal"/>
      <w:lvlText w:val="%1.%2.%3.%4"/>
      <w:lvlJc w:val="left"/>
      <w:pPr>
        <w:tabs>
          <w:tab w:val="num" w:pos="1021"/>
        </w:tabs>
        <w:ind w:left="1021" w:hanging="1021"/>
      </w:pPr>
      <w:rPr>
        <w:rFonts w:hint="default"/>
      </w:rPr>
    </w:lvl>
    <w:lvl w:ilvl="4">
      <w:start w:val="1"/>
      <w:numFmt w:val="none"/>
      <w:pStyle w:val="Heading5"/>
      <w:lvlText w:val=""/>
      <w:lvlJc w:val="left"/>
      <w:pPr>
        <w:tabs>
          <w:tab w:val="num" w:pos="0"/>
        </w:tabs>
        <w:ind w:left="0" w:firstLine="0"/>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7" w15:restartNumberingAfterBreak="0">
    <w:nsid w:val="648E6CBA"/>
    <w:multiLevelType w:val="multilevel"/>
    <w:tmpl w:val="540CA368"/>
    <w:styleLink w:val="ListBulletmaster"/>
    <w:lvl w:ilvl="0">
      <w:start w:val="1"/>
      <w:numFmt w:val="bullet"/>
      <w:pStyle w:val="ListBullet"/>
      <w:lvlText w:val=""/>
      <w:lvlJc w:val="left"/>
      <w:pPr>
        <w:tabs>
          <w:tab w:val="num" w:pos="360"/>
        </w:tabs>
        <w:ind w:left="360" w:hanging="360"/>
      </w:pPr>
      <w:rPr>
        <w:rFonts w:ascii="Symbol" w:hAnsi="Symbol" w:hint="default"/>
        <w:color w:val="auto"/>
      </w:rPr>
    </w:lvl>
    <w:lvl w:ilvl="1">
      <w:start w:val="1"/>
      <w:numFmt w:val="bullet"/>
      <w:pStyle w:val="ListBullet2"/>
      <w:lvlText w:val=""/>
      <w:lvlJc w:val="left"/>
      <w:pPr>
        <w:ind w:left="714" w:hanging="357"/>
      </w:pPr>
      <w:rPr>
        <w:rFonts w:ascii="Symbol" w:hAnsi="Symbol" w:hint="default"/>
        <w:color w:val="auto"/>
      </w:rPr>
    </w:lvl>
    <w:lvl w:ilvl="2">
      <w:start w:val="1"/>
      <w:numFmt w:val="bullet"/>
      <w:pStyle w:val="ListBullet3"/>
      <w:lvlText w:val=""/>
      <w:lvlJc w:val="left"/>
      <w:pPr>
        <w:ind w:left="1072" w:hanging="358"/>
      </w:pPr>
      <w:rPr>
        <w:rFonts w:ascii="Symbol" w:hAnsi="Symbol" w:hint="default"/>
        <w:color w:val="auto"/>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6C3F031A"/>
    <w:multiLevelType w:val="multilevel"/>
    <w:tmpl w:val="A1224394"/>
    <w:numStyleLink w:val="ListLegalmaster"/>
  </w:abstractNum>
  <w:abstractNum w:abstractNumId="19" w15:restartNumberingAfterBreak="0">
    <w:nsid w:val="6D0C28B4"/>
    <w:multiLevelType w:val="multilevel"/>
    <w:tmpl w:val="442A7A30"/>
    <w:numStyleLink w:val="Headingsmaster"/>
  </w:abstractNum>
  <w:abstractNum w:abstractNumId="20" w15:restartNumberingAfterBreak="0">
    <w:nsid w:val="6DBF0135"/>
    <w:multiLevelType w:val="multilevel"/>
    <w:tmpl w:val="062642BC"/>
    <w:styleLink w:val="RecommendationListmaster"/>
    <w:lvl w:ilvl="0">
      <w:start w:val="1"/>
      <w:numFmt w:val="none"/>
      <w:pStyle w:val="RecommendationsHeading"/>
      <w:lvlText w:val="Recommendations"/>
      <w:lvlJc w:val="left"/>
      <w:pPr>
        <w:ind w:left="360" w:hanging="360"/>
      </w:pPr>
      <w:rPr>
        <w:rFonts w:hint="default"/>
      </w:rPr>
    </w:lvl>
    <w:lvl w:ilvl="1">
      <w:start w:val="1"/>
      <w:numFmt w:val="decimal"/>
      <w:pStyle w:val="RecommendationList"/>
      <w:lvlText w:val="Recommendation %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1" w15:restartNumberingAfterBreak="0">
    <w:nsid w:val="6F571BE7"/>
    <w:multiLevelType w:val="multilevel"/>
    <w:tmpl w:val="3C58879C"/>
    <w:numStyleLink w:val="TableListBulletmaster"/>
  </w:abstractNum>
  <w:abstractNum w:abstractNumId="22" w15:restartNumberingAfterBreak="0">
    <w:nsid w:val="750B0826"/>
    <w:multiLevelType w:val="multilevel"/>
    <w:tmpl w:val="69C6531C"/>
    <w:numStyleLink w:val="ListNumbermaster"/>
  </w:abstractNum>
  <w:num w:numId="1">
    <w:abstractNumId w:val="2"/>
  </w:num>
  <w:num w:numId="2">
    <w:abstractNumId w:val="16"/>
  </w:num>
  <w:num w:numId="3">
    <w:abstractNumId w:val="4"/>
  </w:num>
  <w:num w:numId="4">
    <w:abstractNumId w:val="17"/>
  </w:num>
  <w:num w:numId="5">
    <w:abstractNumId w:val="9"/>
  </w:num>
  <w:num w:numId="6">
    <w:abstractNumId w:val="13"/>
  </w:num>
  <w:num w:numId="7">
    <w:abstractNumId w:val="5"/>
  </w:num>
  <w:num w:numId="8">
    <w:abstractNumId w:val="0"/>
  </w:num>
  <w:num w:numId="9">
    <w:abstractNumId w:val="10"/>
  </w:num>
  <w:num w:numId="10">
    <w:abstractNumId w:val="6"/>
  </w:num>
  <w:num w:numId="11">
    <w:abstractNumId w:val="18"/>
  </w:num>
  <w:num w:numId="12">
    <w:abstractNumId w:val="8"/>
  </w:num>
  <w:num w:numId="13">
    <w:abstractNumId w:val="7"/>
  </w:num>
  <w:num w:numId="14">
    <w:abstractNumId w:val="22"/>
  </w:num>
  <w:num w:numId="15">
    <w:abstractNumId w:val="21"/>
  </w:num>
  <w:num w:numId="16">
    <w:abstractNumId w:val="20"/>
  </w:num>
  <w:num w:numId="1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9"/>
    <w:lvlOverride w:ilvl="0">
      <w:lvl w:ilvl="0">
        <w:start w:val="1"/>
        <w:numFmt w:val="decimal"/>
        <w:pStyle w:val="Heading1"/>
        <w:lvlText w:val="%1."/>
        <w:lvlJc w:val="left"/>
        <w:pPr>
          <w:ind w:left="1021" w:hanging="1021"/>
        </w:pPr>
        <w:rPr>
          <w:rFonts w:hint="default"/>
        </w:rPr>
      </w:lvl>
    </w:lvlOverride>
    <w:lvlOverride w:ilvl="2">
      <w:lvl w:ilvl="2">
        <w:start w:val="1"/>
        <w:numFmt w:val="decimal"/>
        <w:pStyle w:val="Heading3"/>
        <w:lvlText w:val="%1.%2.%3"/>
        <w:lvlJc w:val="left"/>
        <w:pPr>
          <w:ind w:left="1021" w:hanging="1021"/>
        </w:pPr>
        <w:rPr>
          <w:rFonts w:hint="default"/>
        </w:rPr>
      </w:lvl>
    </w:lvlOverride>
  </w:num>
  <w:num w:numId="21">
    <w:abstractNumId w:val="14"/>
  </w:num>
  <w:num w:numId="22">
    <w:abstractNumId w:val="15"/>
  </w:num>
  <w:num w:numId="23">
    <w:abstractNumId w:val="3"/>
  </w:num>
  <w:num w:numId="24">
    <w:abstractNumId w:val="1"/>
  </w:num>
  <w:num w:numId="25">
    <w:abstractNumId w:val="11"/>
  </w:num>
  <w:num w:numId="26">
    <w:abstractNumId w:val="12"/>
  </w:num>
  <w:num w:numId="27">
    <w:abstractNumId w:val="20"/>
  </w:num>
  <w:num w:numId="28">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9"/>
  </w:num>
  <w:num w:numId="30">
    <w:abstractNumId w:val="19"/>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6"/>
  <w:proofState w:spelling="clean" w:grammar="clean"/>
  <w:attachedTemplate r:id="rId1"/>
  <w:documentProtection w:enforcement="0"/>
  <w:autoFormatOverride/>
  <w:defaultTabStop w:val="720"/>
  <w:characterSpacingControl w:val="doNotCompress"/>
  <w:hdrShapeDefaults>
    <o:shapedefaults v:ext="edit" spidmax="4097"/>
  </w:hdrShapeDefaults>
  <w:footnotePr>
    <w:footnote w:id="-1"/>
    <w:footnote w:id="0"/>
  </w:footnotePr>
  <w:endnotePr>
    <w:pos w:val="sectEnd"/>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wNzE3sTSzMDEyMjCyMDZU0lEKTi0uzszPAykwrgUA5MdhVywAAAA="/>
  </w:docVars>
  <w:rsids>
    <w:rsidRoot w:val="00BE709A"/>
    <w:rsid w:val="000004C5"/>
    <w:rsid w:val="00005ECE"/>
    <w:rsid w:val="00011665"/>
    <w:rsid w:val="0001365E"/>
    <w:rsid w:val="000222CA"/>
    <w:rsid w:val="000265FD"/>
    <w:rsid w:val="0002738A"/>
    <w:rsid w:val="00034D42"/>
    <w:rsid w:val="000362A7"/>
    <w:rsid w:val="00040AE7"/>
    <w:rsid w:val="000419F4"/>
    <w:rsid w:val="0004497B"/>
    <w:rsid w:val="00046354"/>
    <w:rsid w:val="00051941"/>
    <w:rsid w:val="00060ED9"/>
    <w:rsid w:val="00062A70"/>
    <w:rsid w:val="00063B52"/>
    <w:rsid w:val="000641CE"/>
    <w:rsid w:val="00066B58"/>
    <w:rsid w:val="00070475"/>
    <w:rsid w:val="00073182"/>
    <w:rsid w:val="00073826"/>
    <w:rsid w:val="000758B0"/>
    <w:rsid w:val="000828E6"/>
    <w:rsid w:val="0008324B"/>
    <w:rsid w:val="000850A0"/>
    <w:rsid w:val="00086633"/>
    <w:rsid w:val="00093021"/>
    <w:rsid w:val="000956B9"/>
    <w:rsid w:val="000A2063"/>
    <w:rsid w:val="000A53F7"/>
    <w:rsid w:val="000A5507"/>
    <w:rsid w:val="000A6954"/>
    <w:rsid w:val="000A7A3E"/>
    <w:rsid w:val="000B38EB"/>
    <w:rsid w:val="000C049B"/>
    <w:rsid w:val="000C0F81"/>
    <w:rsid w:val="000C1AF6"/>
    <w:rsid w:val="000C2C09"/>
    <w:rsid w:val="000C5222"/>
    <w:rsid w:val="000C6493"/>
    <w:rsid w:val="000F07A4"/>
    <w:rsid w:val="000F1E34"/>
    <w:rsid w:val="000F2303"/>
    <w:rsid w:val="000F5BD8"/>
    <w:rsid w:val="000F6C59"/>
    <w:rsid w:val="00103E3F"/>
    <w:rsid w:val="00104750"/>
    <w:rsid w:val="00104FBE"/>
    <w:rsid w:val="001057A3"/>
    <w:rsid w:val="001101ED"/>
    <w:rsid w:val="0012560D"/>
    <w:rsid w:val="001346AE"/>
    <w:rsid w:val="001444B2"/>
    <w:rsid w:val="00160EA7"/>
    <w:rsid w:val="001664C6"/>
    <w:rsid w:val="00172538"/>
    <w:rsid w:val="001742A2"/>
    <w:rsid w:val="00185E99"/>
    <w:rsid w:val="00186429"/>
    <w:rsid w:val="00190AFE"/>
    <w:rsid w:val="00190BB6"/>
    <w:rsid w:val="001919C3"/>
    <w:rsid w:val="00192B44"/>
    <w:rsid w:val="00195D90"/>
    <w:rsid w:val="00196F9B"/>
    <w:rsid w:val="001A01EA"/>
    <w:rsid w:val="001A165D"/>
    <w:rsid w:val="001A3124"/>
    <w:rsid w:val="001A7E36"/>
    <w:rsid w:val="001B0579"/>
    <w:rsid w:val="001B2380"/>
    <w:rsid w:val="001B32B8"/>
    <w:rsid w:val="001B4579"/>
    <w:rsid w:val="001B4AE0"/>
    <w:rsid w:val="001C1CF7"/>
    <w:rsid w:val="001C3249"/>
    <w:rsid w:val="001C4183"/>
    <w:rsid w:val="001D450D"/>
    <w:rsid w:val="001E50D3"/>
    <w:rsid w:val="001F60C9"/>
    <w:rsid w:val="0020139C"/>
    <w:rsid w:val="00203BC1"/>
    <w:rsid w:val="00206C36"/>
    <w:rsid w:val="00207656"/>
    <w:rsid w:val="0021203E"/>
    <w:rsid w:val="002148F8"/>
    <w:rsid w:val="00215FA4"/>
    <w:rsid w:val="002319C4"/>
    <w:rsid w:val="0023754A"/>
    <w:rsid w:val="002375BC"/>
    <w:rsid w:val="00241524"/>
    <w:rsid w:val="0025462C"/>
    <w:rsid w:val="002709DC"/>
    <w:rsid w:val="00270F83"/>
    <w:rsid w:val="00273FFF"/>
    <w:rsid w:val="00284B0F"/>
    <w:rsid w:val="0028539D"/>
    <w:rsid w:val="00291313"/>
    <w:rsid w:val="002A13A9"/>
    <w:rsid w:val="002A180F"/>
    <w:rsid w:val="002A50F4"/>
    <w:rsid w:val="002A51E7"/>
    <w:rsid w:val="002B16E8"/>
    <w:rsid w:val="002B1C94"/>
    <w:rsid w:val="002B3BCD"/>
    <w:rsid w:val="002B6FE8"/>
    <w:rsid w:val="002E76E0"/>
    <w:rsid w:val="002F1127"/>
    <w:rsid w:val="002F6C8C"/>
    <w:rsid w:val="0030050F"/>
    <w:rsid w:val="0031073D"/>
    <w:rsid w:val="00323771"/>
    <w:rsid w:val="00325276"/>
    <w:rsid w:val="003254F1"/>
    <w:rsid w:val="00336E76"/>
    <w:rsid w:val="00340559"/>
    <w:rsid w:val="0034285A"/>
    <w:rsid w:val="00347208"/>
    <w:rsid w:val="003531B8"/>
    <w:rsid w:val="00353F43"/>
    <w:rsid w:val="00355959"/>
    <w:rsid w:val="00357282"/>
    <w:rsid w:val="003606CA"/>
    <w:rsid w:val="00361911"/>
    <w:rsid w:val="00365EF0"/>
    <w:rsid w:val="003779C7"/>
    <w:rsid w:val="00384297"/>
    <w:rsid w:val="00391B9D"/>
    <w:rsid w:val="003950BC"/>
    <w:rsid w:val="003960E4"/>
    <w:rsid w:val="00396898"/>
    <w:rsid w:val="003A7FC3"/>
    <w:rsid w:val="003B63B4"/>
    <w:rsid w:val="003C1C24"/>
    <w:rsid w:val="003C592A"/>
    <w:rsid w:val="003D153D"/>
    <w:rsid w:val="003D2B56"/>
    <w:rsid w:val="003D6B5E"/>
    <w:rsid w:val="003E33DC"/>
    <w:rsid w:val="003E375D"/>
    <w:rsid w:val="003F0B9B"/>
    <w:rsid w:val="003F212D"/>
    <w:rsid w:val="0040071B"/>
    <w:rsid w:val="00402E7E"/>
    <w:rsid w:val="00403A3C"/>
    <w:rsid w:val="00421940"/>
    <w:rsid w:val="00434ACE"/>
    <w:rsid w:val="00442B6F"/>
    <w:rsid w:val="00444EA6"/>
    <w:rsid w:val="00452A9D"/>
    <w:rsid w:val="004568E2"/>
    <w:rsid w:val="00461078"/>
    <w:rsid w:val="00475689"/>
    <w:rsid w:val="00475C71"/>
    <w:rsid w:val="004819B0"/>
    <w:rsid w:val="00482EA5"/>
    <w:rsid w:val="00486277"/>
    <w:rsid w:val="00490DAF"/>
    <w:rsid w:val="0049182B"/>
    <w:rsid w:val="004A06C6"/>
    <w:rsid w:val="004A2EE9"/>
    <w:rsid w:val="004A37CA"/>
    <w:rsid w:val="004A5C0C"/>
    <w:rsid w:val="004A6954"/>
    <w:rsid w:val="004C2D7F"/>
    <w:rsid w:val="004C30EA"/>
    <w:rsid w:val="004C5DED"/>
    <w:rsid w:val="004C7276"/>
    <w:rsid w:val="004D3CB9"/>
    <w:rsid w:val="004D7CF3"/>
    <w:rsid w:val="004E15BC"/>
    <w:rsid w:val="004E68E7"/>
    <w:rsid w:val="004E7F3F"/>
    <w:rsid w:val="004F05FF"/>
    <w:rsid w:val="005012B2"/>
    <w:rsid w:val="00514CDB"/>
    <w:rsid w:val="00517725"/>
    <w:rsid w:val="00517B67"/>
    <w:rsid w:val="00520E50"/>
    <w:rsid w:val="005226BE"/>
    <w:rsid w:val="00530E9F"/>
    <w:rsid w:val="00540F1A"/>
    <w:rsid w:val="0054454E"/>
    <w:rsid w:val="0054607E"/>
    <w:rsid w:val="00561238"/>
    <w:rsid w:val="005639EA"/>
    <w:rsid w:val="00564014"/>
    <w:rsid w:val="00565188"/>
    <w:rsid w:val="00566E34"/>
    <w:rsid w:val="0057041F"/>
    <w:rsid w:val="00582E76"/>
    <w:rsid w:val="00592C0C"/>
    <w:rsid w:val="005A2727"/>
    <w:rsid w:val="005A63C3"/>
    <w:rsid w:val="005B058C"/>
    <w:rsid w:val="005B6A04"/>
    <w:rsid w:val="005B6F74"/>
    <w:rsid w:val="005C2DB1"/>
    <w:rsid w:val="005C5108"/>
    <w:rsid w:val="005C738B"/>
    <w:rsid w:val="005D1116"/>
    <w:rsid w:val="005D7C71"/>
    <w:rsid w:val="005E7354"/>
    <w:rsid w:val="005F3C83"/>
    <w:rsid w:val="005F7BD1"/>
    <w:rsid w:val="00600004"/>
    <w:rsid w:val="00605B32"/>
    <w:rsid w:val="006134A1"/>
    <w:rsid w:val="00631A6E"/>
    <w:rsid w:val="006320F2"/>
    <w:rsid w:val="006328AE"/>
    <w:rsid w:val="006446C6"/>
    <w:rsid w:val="00652CFA"/>
    <w:rsid w:val="00662FA0"/>
    <w:rsid w:val="0066392B"/>
    <w:rsid w:val="00666CDC"/>
    <w:rsid w:val="00667577"/>
    <w:rsid w:val="00670134"/>
    <w:rsid w:val="006722C0"/>
    <w:rsid w:val="0067518D"/>
    <w:rsid w:val="00686262"/>
    <w:rsid w:val="00687A23"/>
    <w:rsid w:val="0069066D"/>
    <w:rsid w:val="00690B2A"/>
    <w:rsid w:val="00693A6A"/>
    <w:rsid w:val="006B18AC"/>
    <w:rsid w:val="006B1B83"/>
    <w:rsid w:val="006B647C"/>
    <w:rsid w:val="006C2617"/>
    <w:rsid w:val="006C5707"/>
    <w:rsid w:val="006C6CDE"/>
    <w:rsid w:val="006D26D8"/>
    <w:rsid w:val="006D2EB5"/>
    <w:rsid w:val="006D3BF6"/>
    <w:rsid w:val="006F6394"/>
    <w:rsid w:val="00713506"/>
    <w:rsid w:val="00732448"/>
    <w:rsid w:val="00735B41"/>
    <w:rsid w:val="007362F3"/>
    <w:rsid w:val="00736816"/>
    <w:rsid w:val="007410A8"/>
    <w:rsid w:val="007433EF"/>
    <w:rsid w:val="00744030"/>
    <w:rsid w:val="00750F61"/>
    <w:rsid w:val="00753137"/>
    <w:rsid w:val="00756678"/>
    <w:rsid w:val="00785AB3"/>
    <w:rsid w:val="007860EA"/>
    <w:rsid w:val="007920E5"/>
    <w:rsid w:val="007921B4"/>
    <w:rsid w:val="007A5364"/>
    <w:rsid w:val="007B1B6F"/>
    <w:rsid w:val="007B2DBB"/>
    <w:rsid w:val="007C0F33"/>
    <w:rsid w:val="007C1A44"/>
    <w:rsid w:val="007C1B7B"/>
    <w:rsid w:val="007C2C18"/>
    <w:rsid w:val="007C5C8E"/>
    <w:rsid w:val="007C7033"/>
    <w:rsid w:val="007C7814"/>
    <w:rsid w:val="007E3BC7"/>
    <w:rsid w:val="007F1309"/>
    <w:rsid w:val="00801470"/>
    <w:rsid w:val="00813600"/>
    <w:rsid w:val="00826EE1"/>
    <w:rsid w:val="00832972"/>
    <w:rsid w:val="00832E86"/>
    <w:rsid w:val="008331A3"/>
    <w:rsid w:val="008340C2"/>
    <w:rsid w:val="00834E59"/>
    <w:rsid w:val="008411AE"/>
    <w:rsid w:val="008462AB"/>
    <w:rsid w:val="008468BA"/>
    <w:rsid w:val="00860524"/>
    <w:rsid w:val="00860C25"/>
    <w:rsid w:val="00886A9F"/>
    <w:rsid w:val="00895659"/>
    <w:rsid w:val="008A19E4"/>
    <w:rsid w:val="008A63F5"/>
    <w:rsid w:val="008A780B"/>
    <w:rsid w:val="008B3D48"/>
    <w:rsid w:val="008B3EEE"/>
    <w:rsid w:val="008E138E"/>
    <w:rsid w:val="008E3F83"/>
    <w:rsid w:val="008E67C3"/>
    <w:rsid w:val="008E7080"/>
    <w:rsid w:val="008F1570"/>
    <w:rsid w:val="009017A6"/>
    <w:rsid w:val="00902244"/>
    <w:rsid w:val="00902D12"/>
    <w:rsid w:val="00902D27"/>
    <w:rsid w:val="00903203"/>
    <w:rsid w:val="00903A82"/>
    <w:rsid w:val="00904146"/>
    <w:rsid w:val="00904C67"/>
    <w:rsid w:val="009076EA"/>
    <w:rsid w:val="009168DD"/>
    <w:rsid w:val="00924A82"/>
    <w:rsid w:val="009574A1"/>
    <w:rsid w:val="009C2D9E"/>
    <w:rsid w:val="009C3CE4"/>
    <w:rsid w:val="009E5D7D"/>
    <w:rsid w:val="009F396E"/>
    <w:rsid w:val="009F3FAF"/>
    <w:rsid w:val="009F53CE"/>
    <w:rsid w:val="009F6BB7"/>
    <w:rsid w:val="00A015A3"/>
    <w:rsid w:val="00A04237"/>
    <w:rsid w:val="00A1422A"/>
    <w:rsid w:val="00A21026"/>
    <w:rsid w:val="00A30A56"/>
    <w:rsid w:val="00A344A7"/>
    <w:rsid w:val="00A50DD0"/>
    <w:rsid w:val="00A57B44"/>
    <w:rsid w:val="00A60377"/>
    <w:rsid w:val="00A70B32"/>
    <w:rsid w:val="00A7299C"/>
    <w:rsid w:val="00A729B1"/>
    <w:rsid w:val="00A769BA"/>
    <w:rsid w:val="00A77FCE"/>
    <w:rsid w:val="00A82296"/>
    <w:rsid w:val="00A85F7F"/>
    <w:rsid w:val="00A9008F"/>
    <w:rsid w:val="00A94334"/>
    <w:rsid w:val="00A97569"/>
    <w:rsid w:val="00A979A3"/>
    <w:rsid w:val="00AA620F"/>
    <w:rsid w:val="00AA6CDE"/>
    <w:rsid w:val="00AB2AE4"/>
    <w:rsid w:val="00AD057B"/>
    <w:rsid w:val="00AD77CF"/>
    <w:rsid w:val="00AD78FD"/>
    <w:rsid w:val="00AD7C38"/>
    <w:rsid w:val="00AE0185"/>
    <w:rsid w:val="00AE375D"/>
    <w:rsid w:val="00AF0826"/>
    <w:rsid w:val="00AF44F2"/>
    <w:rsid w:val="00AF5BB0"/>
    <w:rsid w:val="00B05F15"/>
    <w:rsid w:val="00B1169C"/>
    <w:rsid w:val="00B11DB6"/>
    <w:rsid w:val="00B1519A"/>
    <w:rsid w:val="00B214CA"/>
    <w:rsid w:val="00B2335A"/>
    <w:rsid w:val="00B23FE2"/>
    <w:rsid w:val="00B30561"/>
    <w:rsid w:val="00B3476C"/>
    <w:rsid w:val="00B42B34"/>
    <w:rsid w:val="00B575E1"/>
    <w:rsid w:val="00B64CF7"/>
    <w:rsid w:val="00B64DDE"/>
    <w:rsid w:val="00B67435"/>
    <w:rsid w:val="00B7344E"/>
    <w:rsid w:val="00B7411E"/>
    <w:rsid w:val="00B82AC0"/>
    <w:rsid w:val="00B82E67"/>
    <w:rsid w:val="00B85E05"/>
    <w:rsid w:val="00B91A29"/>
    <w:rsid w:val="00B95BCC"/>
    <w:rsid w:val="00BB2905"/>
    <w:rsid w:val="00BC1110"/>
    <w:rsid w:val="00BC1B34"/>
    <w:rsid w:val="00BC5B3E"/>
    <w:rsid w:val="00BC79B1"/>
    <w:rsid w:val="00BD18DD"/>
    <w:rsid w:val="00BD63B0"/>
    <w:rsid w:val="00BD64C8"/>
    <w:rsid w:val="00BD7527"/>
    <w:rsid w:val="00BE06D8"/>
    <w:rsid w:val="00BE709A"/>
    <w:rsid w:val="00BF3C8D"/>
    <w:rsid w:val="00C04227"/>
    <w:rsid w:val="00C05D67"/>
    <w:rsid w:val="00C0785E"/>
    <w:rsid w:val="00C10933"/>
    <w:rsid w:val="00C16107"/>
    <w:rsid w:val="00C21C98"/>
    <w:rsid w:val="00C3049B"/>
    <w:rsid w:val="00C40B41"/>
    <w:rsid w:val="00C41409"/>
    <w:rsid w:val="00C425C4"/>
    <w:rsid w:val="00C50BA7"/>
    <w:rsid w:val="00C53002"/>
    <w:rsid w:val="00C57B63"/>
    <w:rsid w:val="00C62118"/>
    <w:rsid w:val="00C6254F"/>
    <w:rsid w:val="00C7129E"/>
    <w:rsid w:val="00C93617"/>
    <w:rsid w:val="00C948E5"/>
    <w:rsid w:val="00CA2EAA"/>
    <w:rsid w:val="00CA539A"/>
    <w:rsid w:val="00CA597B"/>
    <w:rsid w:val="00CA65C4"/>
    <w:rsid w:val="00CA7879"/>
    <w:rsid w:val="00CB39EC"/>
    <w:rsid w:val="00CB577E"/>
    <w:rsid w:val="00CC5000"/>
    <w:rsid w:val="00CC559C"/>
    <w:rsid w:val="00CC6102"/>
    <w:rsid w:val="00CC6CBC"/>
    <w:rsid w:val="00CE49B6"/>
    <w:rsid w:val="00CF0C5B"/>
    <w:rsid w:val="00CF1A90"/>
    <w:rsid w:val="00CF5D65"/>
    <w:rsid w:val="00CF7AFE"/>
    <w:rsid w:val="00D0058C"/>
    <w:rsid w:val="00D06083"/>
    <w:rsid w:val="00D064E2"/>
    <w:rsid w:val="00D15779"/>
    <w:rsid w:val="00D220D1"/>
    <w:rsid w:val="00D270D7"/>
    <w:rsid w:val="00D31C1C"/>
    <w:rsid w:val="00D32F3C"/>
    <w:rsid w:val="00D33BDF"/>
    <w:rsid w:val="00D37869"/>
    <w:rsid w:val="00D40314"/>
    <w:rsid w:val="00D44F79"/>
    <w:rsid w:val="00D50123"/>
    <w:rsid w:val="00D67F2F"/>
    <w:rsid w:val="00D73F84"/>
    <w:rsid w:val="00D819BE"/>
    <w:rsid w:val="00D8670C"/>
    <w:rsid w:val="00D9037A"/>
    <w:rsid w:val="00D91C37"/>
    <w:rsid w:val="00D93ED3"/>
    <w:rsid w:val="00D9787C"/>
    <w:rsid w:val="00DA41AA"/>
    <w:rsid w:val="00DB7A37"/>
    <w:rsid w:val="00DC3B87"/>
    <w:rsid w:val="00DD0378"/>
    <w:rsid w:val="00DD35E1"/>
    <w:rsid w:val="00DD6EFA"/>
    <w:rsid w:val="00DE6C3B"/>
    <w:rsid w:val="00DE7545"/>
    <w:rsid w:val="00DF1B61"/>
    <w:rsid w:val="00DF35D6"/>
    <w:rsid w:val="00DF465E"/>
    <w:rsid w:val="00DF7A6F"/>
    <w:rsid w:val="00E03B0F"/>
    <w:rsid w:val="00E067F8"/>
    <w:rsid w:val="00E07145"/>
    <w:rsid w:val="00E12845"/>
    <w:rsid w:val="00E17D40"/>
    <w:rsid w:val="00E2365B"/>
    <w:rsid w:val="00E23C2C"/>
    <w:rsid w:val="00E257E3"/>
    <w:rsid w:val="00E2606C"/>
    <w:rsid w:val="00E3187E"/>
    <w:rsid w:val="00E34EB0"/>
    <w:rsid w:val="00E41201"/>
    <w:rsid w:val="00E41D76"/>
    <w:rsid w:val="00E41F26"/>
    <w:rsid w:val="00E472AB"/>
    <w:rsid w:val="00E5440D"/>
    <w:rsid w:val="00E57245"/>
    <w:rsid w:val="00E84AA7"/>
    <w:rsid w:val="00E85CF8"/>
    <w:rsid w:val="00EA157C"/>
    <w:rsid w:val="00EB10E7"/>
    <w:rsid w:val="00EB325C"/>
    <w:rsid w:val="00EB47E6"/>
    <w:rsid w:val="00EB7079"/>
    <w:rsid w:val="00ED4D69"/>
    <w:rsid w:val="00ED77E6"/>
    <w:rsid w:val="00EE2D09"/>
    <w:rsid w:val="00EE7A25"/>
    <w:rsid w:val="00EF28CE"/>
    <w:rsid w:val="00F2459E"/>
    <w:rsid w:val="00F344BA"/>
    <w:rsid w:val="00F3582C"/>
    <w:rsid w:val="00F415DC"/>
    <w:rsid w:val="00F42EFD"/>
    <w:rsid w:val="00F43C28"/>
    <w:rsid w:val="00F51436"/>
    <w:rsid w:val="00F53107"/>
    <w:rsid w:val="00F65FB2"/>
    <w:rsid w:val="00F7181D"/>
    <w:rsid w:val="00F71BF7"/>
    <w:rsid w:val="00F772F2"/>
    <w:rsid w:val="00FB4E9E"/>
    <w:rsid w:val="00FC2A3D"/>
    <w:rsid w:val="00FC4611"/>
    <w:rsid w:val="00FC728C"/>
    <w:rsid w:val="00FD6818"/>
    <w:rsid w:val="00FF3F9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E2F7B1D"/>
  <w15:docId w15:val="{BD4DE361-B3C8-453A-BE06-3638175E55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lang w:val="en-US" w:eastAsia="en-US" w:bidi="ar-SA"/>
      </w:rPr>
    </w:rPrDefault>
    <w:pPrDefault>
      <w:pPr>
        <w:spacing w:after="200" w:line="276" w:lineRule="auto"/>
      </w:pPr>
    </w:pPrDefault>
  </w:docDefaults>
  <w:latentStyles w:defLockedState="1" w:defUIPriority="99" w:defSemiHidden="0" w:defUnhideWhenUsed="0" w:defQFormat="0" w:count="375">
    <w:lsdException w:name="Normal" w:locked="0" w:uiPriority="0" w:qFormat="1"/>
    <w:lsdException w:name="heading 1" w:locked="0" w:uiPriority="9" w:qFormat="1"/>
    <w:lsdException w:name="heading 2" w:locked="0" w:uiPriority="9" w:qFormat="1"/>
    <w:lsdException w:name="heading 3" w:locked="0" w:uiPriority="9" w:qFormat="1"/>
    <w:lsdException w:name="heading 4" w:locked="0" w:uiPriority="4" w:qFormat="1"/>
    <w:lsdException w:name="heading 5" w:locked="0" w:uiPriority="4" w:qFormat="1"/>
    <w:lsdException w:name="heading 6" w:locked="0" w:semiHidden="1" w:uiPriority="9" w:qFormat="1"/>
    <w:lsdException w:name="heading 7" w:locked="0" w:semiHidden="1" w:uiPriority="9" w:qFormat="1"/>
    <w:lsdException w:name="heading 8" w:locked="0" w:semiHidden="1" w:uiPriority="9" w:qFormat="1"/>
    <w:lsdException w:name="heading 9" w:locked="0" w:semiHidden="1" w:uiPriority="9" w:qFormat="1"/>
    <w:lsdException w:name="index 1" w:locked="0" w:semiHidden="1"/>
    <w:lsdException w:name="index 2" w:locked="0" w:semiHidden="1"/>
    <w:lsdException w:name="index 3" w:locked="0" w:semiHidden="1"/>
    <w:lsdException w:name="index 4" w:locked="0" w:semiHidden="1"/>
    <w:lsdException w:name="index 5" w:locked="0" w:semiHidden="1"/>
    <w:lsdException w:name="index 6" w:locked="0" w:semiHidden="1"/>
    <w:lsdException w:name="index 7" w:locked="0" w:semiHidden="1"/>
    <w:lsdException w:name="index 8" w:locked="0" w:semiHidden="1"/>
    <w:lsdException w:name="index 9" w:locked="0" w:semiHidden="1"/>
    <w:lsdException w:name="toc 1" w:locked="0" w:uiPriority="39" w:unhideWhenUsed="1"/>
    <w:lsdException w:name="toc 2" w:locked="0" w:uiPriority="39" w:unhideWhenUsed="1"/>
    <w:lsdException w:name="toc 3" w:locked="0" w:uiPriority="39" w:unhideWhenUsed="1"/>
    <w:lsdException w:name="toc 4" w:locked="0" w:semiHidden="1" w:uiPriority="39"/>
    <w:lsdException w:name="toc 5" w:locked="0" w:semiHidden="1" w:uiPriority="39"/>
    <w:lsdException w:name="toc 6" w:locked="0" w:semiHidden="1" w:uiPriority="39"/>
    <w:lsdException w:name="toc 7" w:locked="0" w:semiHidden="1" w:uiPriority="39"/>
    <w:lsdException w:name="toc 8" w:locked="0" w:semiHidden="1" w:uiPriority="39"/>
    <w:lsdException w:name="toc 9" w:locked="0" w:semiHidden="1" w:uiPriority="39"/>
    <w:lsdException w:name="Normal Indent" w:locked="0" w:semiHidden="1"/>
    <w:lsdException w:name="footnote text" w:locked="0" w:semiHidden="1"/>
    <w:lsdException w:name="annotation text" w:locked="0" w:semiHidden="1"/>
    <w:lsdException w:name="header" w:locked="0" w:uiPriority="29" w:unhideWhenUsed="1"/>
    <w:lsdException w:name="footer" w:locked="0" w:uiPriority="24" w:unhideWhenUsed="1"/>
    <w:lsdException w:name="index heading" w:locked="0" w:semiHidden="1"/>
    <w:lsdException w:name="caption" w:locked="0" w:uiPriority="22" w:unhideWhenUsed="1"/>
    <w:lsdException w:name="table of figures" w:locked="0" w:unhideWhenUsed="1"/>
    <w:lsdException w:name="envelope address" w:locked="0" w:semiHidden="1"/>
    <w:lsdException w:name="envelope return" w:locked="0" w:semiHidden="1"/>
    <w:lsdException w:name="footnote reference" w:locked="0" w:semiHidden="1" w:qFormat="1"/>
    <w:lsdException w:name="annotation reference" w:locked="0" w:semiHidden="1"/>
    <w:lsdException w:name="line number" w:locked="0" w:semiHidden="1"/>
    <w:lsdException w:name="page number" w:locked="0" w:unhideWhenUsed="1"/>
    <w:lsdException w:name="endnote reference" w:locked="0" w:semiHidden="1"/>
    <w:lsdException w:name="endnote text" w:locked="0" w:semiHidden="1"/>
    <w:lsdException w:name="table of authorities" w:semiHidden="1"/>
    <w:lsdException w:name="macro" w:locked="0" w:semiHidden="1"/>
    <w:lsdException w:name="toa heading" w:locked="0" w:semiHidden="1"/>
    <w:lsdException w:name="List" w:locked="0" w:semiHidden="1"/>
    <w:lsdException w:name="List Bullet" w:locked="0" w:semiHidden="1" w:uiPriority="4" w:unhideWhenUsed="1" w:qFormat="1"/>
    <w:lsdException w:name="List Number" w:locked="0" w:semiHidden="1" w:uiPriority="5" w:unhideWhenUsed="1" w:qFormat="1"/>
    <w:lsdException w:name="List 2" w:locked="0" w:semiHidden="1"/>
    <w:lsdException w:name="List 3" w:locked="0" w:semiHidden="1"/>
    <w:lsdException w:name="List 4" w:locked="0" w:semiHidden="1"/>
    <w:lsdException w:name="List 5" w:locked="0" w:semiHidden="1"/>
    <w:lsdException w:name="List Bullet 2" w:locked="0" w:semiHidden="1" w:uiPriority="4" w:unhideWhenUsed="1" w:qFormat="1"/>
    <w:lsdException w:name="List Bullet 3" w:locked="0" w:semiHidden="1" w:uiPriority="4" w:unhideWhenUsed="1" w:qFormat="1"/>
    <w:lsdException w:name="List Bullet 4" w:locked="0" w:semiHidden="1"/>
    <w:lsdException w:name="List Bullet 5" w:locked="0" w:semiHidden="1"/>
    <w:lsdException w:name="List Number 2" w:locked="0" w:semiHidden="1" w:uiPriority="5" w:unhideWhenUsed="1" w:qFormat="1"/>
    <w:lsdException w:name="List Number 3" w:locked="0" w:semiHidden="1" w:uiPriority="5" w:unhideWhenUsed="1" w:qFormat="1"/>
    <w:lsdException w:name="List Number 4" w:locked="0" w:semiHidden="1"/>
    <w:lsdException w:name="List Number 5" w:locked="0" w:semiHidden="1"/>
    <w:lsdException w:name="Title" w:locked="0" w:uiPriority="29"/>
    <w:lsdException w:name="Closing" w:locked="0" w:semiHidden="1"/>
    <w:lsdException w:name="Signature" w:locked="0" w:semiHidden="1"/>
    <w:lsdException w:name="Default Paragraph Font" w:locked="0" w:semiHidden="1" w:uiPriority="1" w:unhideWhenUsed="1"/>
    <w:lsdException w:name="Body Text" w:locked="0" w:uiPriority="0" w:unhideWhenUsed="1" w:qFormat="1"/>
    <w:lsdException w:name="Body Text Indent" w:locked="0" w:semiHidden="1"/>
    <w:lsdException w:name="List Continue" w:locked="0" w:semiHidden="1"/>
    <w:lsdException w:name="List Continue 2" w:locked="0" w:semiHidden="1"/>
    <w:lsdException w:name="List Continue 3" w:locked="0" w:semiHidden="1"/>
    <w:lsdException w:name="List Continue 4" w:locked="0" w:semiHidden="1"/>
    <w:lsdException w:name="List Continue 5" w:locked="0" w:semiHidden="1"/>
    <w:lsdException w:name="Message Header" w:locked="0" w:semiHidden="1"/>
    <w:lsdException w:name="Subtitle" w:locked="0" w:uiPriority="30"/>
    <w:lsdException w:name="Salutation" w:locked="0" w:semiHidden="1"/>
    <w:lsdException w:name="Date" w:locked="0" w:semiHidden="1"/>
    <w:lsdException w:name="Body Text First Indent" w:locked="0" w:semiHidden="1"/>
    <w:lsdException w:name="Body Text First Indent 2" w:locked="0" w:semiHidden="1"/>
    <w:lsdException w:name="Note Heading" w:locked="0" w:semiHidden="1"/>
    <w:lsdException w:name="Body Text 2" w:locked="0" w:semiHidden="1"/>
    <w:lsdException w:name="Body Text 3" w:locked="0" w:semiHidden="1"/>
    <w:lsdException w:name="Body Text Indent 2" w:locked="0" w:semiHidden="1"/>
    <w:lsdException w:name="Body Text Indent 3" w:locked="0" w:semiHidden="1"/>
    <w:lsdException w:name="Block Text" w:locked="0" w:semiHidden="1"/>
    <w:lsdException w:name="Hyperlink" w:locked="0" w:semiHidden="1" w:unhideWhenUsed="1" w:qFormat="1"/>
    <w:lsdException w:name="FollowedHyperlink" w:locked="0" w:semiHidden="1"/>
    <w:lsdException w:name="Strong" w:locked="0" w:semiHidden="1" w:qFormat="1"/>
    <w:lsdException w:name="Emphasis" w:locked="0" w:semiHidden="1" w:qFormat="1"/>
    <w:lsdException w:name="Document Map" w:locked="0" w:semiHidden="1"/>
    <w:lsdException w:name="Plain Text" w:locked="0" w:semiHidden="1"/>
    <w:lsdException w:name="E-mail Signature" w:locked="0" w:semiHidden="1"/>
    <w:lsdException w:name="HTML Top of Form" w:locked="0" w:semiHidden="1" w:unhideWhenUsed="1"/>
    <w:lsdException w:name="HTML Bottom of Form" w:locked="0" w:semiHidden="1" w:unhideWhenUsed="1"/>
    <w:lsdException w:name="Normal (Web)" w:locked="0" w:semiHidden="1"/>
    <w:lsdException w:name="HTML Acronym" w:locked="0" w:semiHidden="1"/>
    <w:lsdException w:name="HTML Address" w:locked="0" w:semiHidden="1"/>
    <w:lsdException w:name="HTML Cite" w:locked="0" w:semiHidden="1"/>
    <w:lsdException w:name="HTML Code" w:locked="0" w:semiHidden="1"/>
    <w:lsdException w:name="HTML Definition" w:locked="0" w:semiHidden="1"/>
    <w:lsdException w:name="HTML Keyboard" w:locked="0" w:semiHidden="1"/>
    <w:lsdException w:name="HTML Preformatted" w:locked="0" w:semiHidden="1"/>
    <w:lsdException w:name="HTML Sample" w:locked="0" w:semiHidden="1"/>
    <w:lsdException w:name="HTML Typewriter" w:locked="0" w:semiHidden="1"/>
    <w:lsdException w:name="HTML Variable" w:locked="0" w:semiHidden="1"/>
    <w:lsdException w:name="Normal Table" w:locked="0" w:semiHidden="1" w:unhideWhenUsed="1"/>
    <w:lsdException w:name="annotation subject" w:locked="0" w:semiHidden="1"/>
    <w:lsdException w:name="No List" w:locked="0" w:semiHidden="1" w:unhideWhenUsed="1"/>
    <w:lsdException w:name="Outline List 1" w:locked="0" w:semiHidden="1" w:unhideWhenUsed="1"/>
    <w:lsdException w:name="Outline List 2" w:locked="0" w:semiHidden="1" w:unhideWhenUsed="1"/>
    <w:lsdException w:name="Outline List 3" w:locked="0"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nhideWhenUsed="1"/>
    <w:lsdException w:name="Table Grid" w:locked="0" w:uiPriority="59"/>
    <w:lsdException w:name="Table Theme" w:semiHidden="1" w:unhideWhenUsed="1"/>
    <w:lsdException w:name="Placeholder Text" w:locked="0" w:semiHidden="1"/>
    <w:lsdException w:name="No Spacing" w:locked="0" w:uiPriority="24"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qFormat="1"/>
    <w:lsdException w:name="Quote" w:locked="0" w:uiPriority="19" w:qFormat="1"/>
    <w:lsdException w:name="Intense Quote" w:locked="0" w:semiHidden="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semiHidden="1" w:qFormat="1"/>
    <w:lsdException w:name="Intense Emphasis" w:locked="0" w:semiHidden="1" w:qFormat="1"/>
    <w:lsdException w:name="Subtle Reference" w:locked="0" w:semiHidden="1" w:qFormat="1"/>
    <w:lsdException w:name="Intense Reference" w:locked="0" w:semiHidden="1" w:qFormat="1"/>
    <w:lsdException w:name="Book Title" w:locked="0" w:semiHidden="1" w:qFormat="1"/>
    <w:lsdException w:name="Bibliography" w:locked="0" w:semiHidden="1"/>
    <w:lsdException w:name="TOC Heading" w:locked="0" w:semiHidden="1" w:uiPriority="2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lsdException w:name="Smart Hyperlink" w:locked="0" w:semiHidden="1"/>
    <w:lsdException w:name="Hashtag" w:locked="0" w:semiHidden="1"/>
    <w:lsdException w:name="Unresolved Mention" w:locked="0" w:semiHidden="1" w:unhideWhenUsed="1"/>
  </w:latentStyles>
  <w:style w:type="paragraph" w:default="1" w:styleId="Normal">
    <w:name w:val="Normal"/>
    <w:qFormat/>
    <w:rsid w:val="009E5D7D"/>
    <w:pPr>
      <w:spacing w:before="80" w:after="120" w:line="240" w:lineRule="auto"/>
    </w:pPr>
    <w:rPr>
      <w:rFonts w:ascii="Arial" w:hAnsi="Arial"/>
      <w:sz w:val="24"/>
      <w:lang w:val="en-AU"/>
    </w:rPr>
  </w:style>
  <w:style w:type="paragraph" w:styleId="Heading1">
    <w:name w:val="heading 1"/>
    <w:basedOn w:val="BodyText"/>
    <w:next w:val="BodyText"/>
    <w:link w:val="Heading1Char"/>
    <w:uiPriority w:val="9"/>
    <w:qFormat/>
    <w:rsid w:val="00F344BA"/>
    <w:pPr>
      <w:keepNext/>
      <w:pageBreakBefore/>
      <w:numPr>
        <w:numId w:val="20"/>
      </w:numPr>
      <w:spacing w:before="0" w:line="360" w:lineRule="atLeast"/>
      <w:contextualSpacing/>
      <w:outlineLvl w:val="0"/>
    </w:pPr>
    <w:rPr>
      <w:rFonts w:eastAsia="Times New Roman" w:cs="Arial"/>
      <w:bCs/>
      <w:sz w:val="48"/>
      <w:szCs w:val="32"/>
      <w:lang w:eastAsia="en-AU"/>
    </w:rPr>
  </w:style>
  <w:style w:type="paragraph" w:styleId="Heading2">
    <w:name w:val="heading 2"/>
    <w:basedOn w:val="Heading1"/>
    <w:next w:val="BodyText"/>
    <w:link w:val="Heading2Char"/>
    <w:uiPriority w:val="9"/>
    <w:qFormat/>
    <w:rsid w:val="00DE6C3B"/>
    <w:pPr>
      <w:pageBreakBefore w:val="0"/>
      <w:numPr>
        <w:ilvl w:val="1"/>
      </w:numPr>
      <w:spacing w:before="300"/>
      <w:outlineLvl w:val="1"/>
    </w:pPr>
    <w:rPr>
      <w:b/>
      <w:bCs w:val="0"/>
      <w:iCs/>
      <w:sz w:val="36"/>
      <w:szCs w:val="28"/>
    </w:rPr>
  </w:style>
  <w:style w:type="paragraph" w:styleId="Heading3">
    <w:name w:val="heading 3"/>
    <w:basedOn w:val="Heading1"/>
    <w:next w:val="BodyText"/>
    <w:link w:val="Heading3Char"/>
    <w:uiPriority w:val="9"/>
    <w:qFormat/>
    <w:rsid w:val="00DE6C3B"/>
    <w:pPr>
      <w:pageBreakBefore w:val="0"/>
      <w:numPr>
        <w:ilvl w:val="2"/>
      </w:numPr>
      <w:spacing w:before="240" w:line="280" w:lineRule="atLeast"/>
      <w:outlineLvl w:val="2"/>
    </w:pPr>
    <w:rPr>
      <w:bCs w:val="0"/>
      <w:sz w:val="28"/>
      <w:szCs w:val="26"/>
    </w:rPr>
  </w:style>
  <w:style w:type="paragraph" w:styleId="Heading4">
    <w:name w:val="heading 4"/>
    <w:basedOn w:val="Heading1"/>
    <w:next w:val="BodyText"/>
    <w:link w:val="Heading4Char"/>
    <w:uiPriority w:val="9"/>
    <w:qFormat/>
    <w:rsid w:val="00DE6C3B"/>
    <w:pPr>
      <w:pageBreakBefore w:val="0"/>
      <w:numPr>
        <w:numId w:val="0"/>
      </w:numPr>
      <w:spacing w:before="180" w:line="240" w:lineRule="atLeast"/>
      <w:outlineLvl w:val="3"/>
    </w:pPr>
    <w:rPr>
      <w:b/>
      <w:bCs w:val="0"/>
      <w:sz w:val="24"/>
      <w:szCs w:val="21"/>
    </w:rPr>
  </w:style>
  <w:style w:type="paragraph" w:styleId="Heading5">
    <w:name w:val="heading 5"/>
    <w:basedOn w:val="Normal"/>
    <w:next w:val="Normal"/>
    <w:link w:val="Heading5Char"/>
    <w:uiPriority w:val="9"/>
    <w:qFormat/>
    <w:rsid w:val="00DE6C3B"/>
    <w:pPr>
      <w:numPr>
        <w:ilvl w:val="4"/>
        <w:numId w:val="2"/>
      </w:numPr>
      <w:tabs>
        <w:tab w:val="left" w:pos="1021"/>
      </w:tabs>
      <w:spacing w:before="240"/>
      <w:outlineLvl w:val="4"/>
    </w:pPr>
    <w:rPr>
      <w:rFonts w:eastAsia="Times New Roman" w:cs="Times New Roman"/>
      <w:bCs/>
      <w:i/>
      <w:iCs/>
      <w:lang w:val="en-GB"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rsid w:val="006D26D8"/>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6D26D8"/>
    <w:rPr>
      <w:rFonts w:ascii="Tahoma" w:hAnsi="Tahoma" w:cs="Tahoma"/>
      <w:sz w:val="16"/>
      <w:szCs w:val="16"/>
    </w:rPr>
  </w:style>
  <w:style w:type="paragraph" w:styleId="ListBullet">
    <w:name w:val="List Bullet"/>
    <w:basedOn w:val="Normal"/>
    <w:uiPriority w:val="4"/>
    <w:qFormat/>
    <w:rsid w:val="00B3476C"/>
    <w:pPr>
      <w:numPr>
        <w:numId w:val="13"/>
      </w:numPr>
      <w:spacing w:before="0" w:after="60" w:line="240" w:lineRule="atLeast"/>
    </w:pPr>
    <w:rPr>
      <w:rFonts w:eastAsia="Times New Roman" w:cs="Times New Roman"/>
      <w:szCs w:val="24"/>
      <w:lang w:eastAsia="en-GB"/>
    </w:rPr>
  </w:style>
  <w:style w:type="numbering" w:customStyle="1" w:styleId="ListBulletmaster">
    <w:name w:val="List Bullet (master)"/>
    <w:rsid w:val="00B3476C"/>
    <w:pPr>
      <w:numPr>
        <w:numId w:val="4"/>
      </w:numPr>
    </w:pPr>
  </w:style>
  <w:style w:type="paragraph" w:styleId="ListBullet2">
    <w:name w:val="List Bullet 2"/>
    <w:basedOn w:val="Normal"/>
    <w:uiPriority w:val="4"/>
    <w:qFormat/>
    <w:rsid w:val="00B3476C"/>
    <w:pPr>
      <w:numPr>
        <w:ilvl w:val="1"/>
        <w:numId w:val="13"/>
      </w:numPr>
      <w:spacing w:before="0" w:after="60" w:line="240" w:lineRule="atLeast"/>
    </w:pPr>
    <w:rPr>
      <w:rFonts w:eastAsia="Times New Roman" w:cs="Times New Roman"/>
      <w:szCs w:val="24"/>
      <w:lang w:eastAsia="en-GB"/>
    </w:rPr>
  </w:style>
  <w:style w:type="paragraph" w:styleId="ListBullet3">
    <w:name w:val="List Bullet 3"/>
    <w:basedOn w:val="Normal"/>
    <w:uiPriority w:val="4"/>
    <w:semiHidden/>
    <w:qFormat/>
    <w:rsid w:val="00B3476C"/>
    <w:pPr>
      <w:numPr>
        <w:ilvl w:val="2"/>
        <w:numId w:val="13"/>
      </w:numPr>
      <w:spacing w:before="0" w:after="60" w:line="240" w:lineRule="atLeast"/>
    </w:pPr>
    <w:rPr>
      <w:rFonts w:eastAsia="Times New Roman" w:cs="Times New Roman"/>
      <w:szCs w:val="24"/>
      <w:lang w:eastAsia="en-GB"/>
    </w:rPr>
  </w:style>
  <w:style w:type="numbering" w:customStyle="1" w:styleId="ListNumbermaster">
    <w:name w:val="List Number (master)"/>
    <w:rsid w:val="00EA157C"/>
    <w:pPr>
      <w:numPr>
        <w:numId w:val="5"/>
      </w:numPr>
    </w:pPr>
  </w:style>
  <w:style w:type="paragraph" w:styleId="ListNumber2">
    <w:name w:val="List Number 2"/>
    <w:basedOn w:val="Normal"/>
    <w:uiPriority w:val="5"/>
    <w:qFormat/>
    <w:rsid w:val="00EA157C"/>
    <w:pPr>
      <w:numPr>
        <w:ilvl w:val="1"/>
        <w:numId w:val="14"/>
      </w:numPr>
      <w:spacing w:before="0" w:after="60" w:line="240" w:lineRule="atLeast"/>
    </w:pPr>
    <w:rPr>
      <w:rFonts w:eastAsia="Times New Roman" w:cs="Times New Roman"/>
      <w:szCs w:val="24"/>
      <w:lang w:eastAsia="en-GB"/>
    </w:rPr>
  </w:style>
  <w:style w:type="paragraph" w:styleId="ListNumber3">
    <w:name w:val="List Number 3"/>
    <w:basedOn w:val="Normal"/>
    <w:uiPriority w:val="5"/>
    <w:qFormat/>
    <w:rsid w:val="00EA157C"/>
    <w:pPr>
      <w:numPr>
        <w:ilvl w:val="2"/>
        <w:numId w:val="14"/>
      </w:numPr>
      <w:spacing w:before="0" w:after="60" w:line="240" w:lineRule="atLeast"/>
      <w:ind w:left="1077" w:hanging="357"/>
    </w:pPr>
    <w:rPr>
      <w:rFonts w:eastAsia="Times New Roman" w:cs="Times New Roman"/>
      <w:szCs w:val="24"/>
      <w:lang w:eastAsia="en-GB"/>
    </w:rPr>
  </w:style>
  <w:style w:type="paragraph" w:styleId="ListNumber">
    <w:name w:val="List Number"/>
    <w:basedOn w:val="Normal"/>
    <w:uiPriority w:val="5"/>
    <w:qFormat/>
    <w:rsid w:val="00EA157C"/>
    <w:pPr>
      <w:numPr>
        <w:numId w:val="14"/>
      </w:numPr>
      <w:spacing w:before="0" w:after="60" w:line="240" w:lineRule="atLeast"/>
    </w:pPr>
    <w:rPr>
      <w:rFonts w:eastAsia="Times New Roman" w:cs="Times New Roman"/>
      <w:szCs w:val="24"/>
      <w:lang w:eastAsia="en-GB"/>
    </w:rPr>
  </w:style>
  <w:style w:type="paragraph" w:styleId="NoSpacing">
    <w:name w:val="No Spacing"/>
    <w:uiPriority w:val="99"/>
    <w:semiHidden/>
    <w:qFormat/>
    <w:rsid w:val="006722C0"/>
    <w:pPr>
      <w:spacing w:after="0" w:line="240" w:lineRule="auto"/>
    </w:pPr>
    <w:rPr>
      <w:rFonts w:ascii="Arial" w:eastAsia="Times New Roman" w:hAnsi="Arial" w:cs="Times New Roman"/>
      <w:sz w:val="2"/>
      <w:szCs w:val="24"/>
      <w:lang w:val="en-AU" w:eastAsia="en-GB"/>
    </w:rPr>
  </w:style>
  <w:style w:type="paragraph" w:customStyle="1" w:styleId="TableHeading1">
    <w:name w:val="Table Heading 1"/>
    <w:basedOn w:val="Normal"/>
    <w:uiPriority w:val="13"/>
    <w:qFormat/>
    <w:rsid w:val="00860524"/>
    <w:pPr>
      <w:spacing w:before="120" w:line="260" w:lineRule="atLeast"/>
    </w:pPr>
    <w:rPr>
      <w:rFonts w:eastAsia="Times New Roman" w:cs="Times New Roman"/>
      <w:b/>
      <w:bCs/>
      <w:sz w:val="21"/>
      <w:szCs w:val="24"/>
      <w:lang w:eastAsia="en-GB"/>
    </w:rPr>
  </w:style>
  <w:style w:type="paragraph" w:customStyle="1" w:styleId="TableListBullet">
    <w:name w:val="Table List Bullet"/>
    <w:basedOn w:val="Normal"/>
    <w:uiPriority w:val="14"/>
    <w:qFormat/>
    <w:rsid w:val="005E7354"/>
    <w:pPr>
      <w:numPr>
        <w:numId w:val="15"/>
      </w:numPr>
      <w:spacing w:before="120" w:line="260" w:lineRule="atLeast"/>
    </w:pPr>
    <w:rPr>
      <w:rFonts w:eastAsia="Times New Roman" w:cs="Times New Roman"/>
      <w:bCs/>
      <w:sz w:val="20"/>
      <w:szCs w:val="24"/>
      <w:lang w:eastAsia="en-GB"/>
    </w:rPr>
  </w:style>
  <w:style w:type="numbering" w:customStyle="1" w:styleId="TableListBulletmaster">
    <w:name w:val="Table List Bullet (master)"/>
    <w:rsid w:val="005E7354"/>
    <w:pPr>
      <w:numPr>
        <w:numId w:val="6"/>
      </w:numPr>
    </w:pPr>
  </w:style>
  <w:style w:type="paragraph" w:customStyle="1" w:styleId="TableListBullet2">
    <w:name w:val="Table List Bullet 2"/>
    <w:basedOn w:val="TableListBullet"/>
    <w:uiPriority w:val="14"/>
    <w:qFormat/>
    <w:rsid w:val="00FF3F97"/>
    <w:pPr>
      <w:numPr>
        <w:ilvl w:val="1"/>
      </w:numPr>
    </w:pPr>
  </w:style>
  <w:style w:type="paragraph" w:customStyle="1" w:styleId="TableListNumber">
    <w:name w:val="Table List Number"/>
    <w:basedOn w:val="Normal"/>
    <w:uiPriority w:val="14"/>
    <w:qFormat/>
    <w:rsid w:val="009168DD"/>
    <w:pPr>
      <w:numPr>
        <w:numId w:val="8"/>
      </w:numPr>
      <w:spacing w:before="120" w:line="260" w:lineRule="atLeast"/>
      <w:ind w:left="357" w:hanging="357"/>
    </w:pPr>
    <w:rPr>
      <w:rFonts w:eastAsia="Times New Roman" w:cs="Times New Roman"/>
      <w:bCs/>
      <w:sz w:val="20"/>
      <w:szCs w:val="24"/>
      <w:lang w:eastAsia="en-GB"/>
    </w:rPr>
  </w:style>
  <w:style w:type="numbering" w:customStyle="1" w:styleId="TableListNumbermaster">
    <w:name w:val="Table List Number (master)"/>
    <w:rsid w:val="000419F4"/>
    <w:pPr>
      <w:numPr>
        <w:numId w:val="7"/>
      </w:numPr>
    </w:pPr>
  </w:style>
  <w:style w:type="paragraph" w:customStyle="1" w:styleId="TableListNumber2">
    <w:name w:val="Table List Number 2"/>
    <w:basedOn w:val="TableListNumber"/>
    <w:uiPriority w:val="14"/>
    <w:qFormat/>
    <w:rsid w:val="00FF3F97"/>
    <w:pPr>
      <w:numPr>
        <w:ilvl w:val="1"/>
      </w:numPr>
      <w:ind w:left="714" w:hanging="357"/>
    </w:pPr>
  </w:style>
  <w:style w:type="paragraph" w:customStyle="1" w:styleId="TableBodyText">
    <w:name w:val="Table Body Text"/>
    <w:basedOn w:val="Normal"/>
    <w:uiPriority w:val="14"/>
    <w:qFormat/>
    <w:rsid w:val="00DE6C3B"/>
    <w:pPr>
      <w:spacing w:before="120" w:line="260" w:lineRule="atLeast"/>
    </w:pPr>
    <w:rPr>
      <w:rFonts w:eastAsia="Times New Roman" w:cs="Times New Roman"/>
      <w:bCs/>
      <w:sz w:val="21"/>
      <w:szCs w:val="24"/>
      <w:lang w:eastAsia="en-GB"/>
    </w:rPr>
  </w:style>
  <w:style w:type="paragraph" w:customStyle="1" w:styleId="TableBodyTextsmall">
    <w:name w:val="Table Body Text (small)"/>
    <w:basedOn w:val="TableBodyText"/>
    <w:uiPriority w:val="15"/>
    <w:qFormat/>
    <w:rsid w:val="002375BC"/>
    <w:pPr>
      <w:spacing w:before="40" w:after="40" w:line="100" w:lineRule="atLeast"/>
    </w:pPr>
    <w:rPr>
      <w:sz w:val="18"/>
    </w:rPr>
  </w:style>
  <w:style w:type="character" w:customStyle="1" w:styleId="Characterbold">
    <w:name w:val="Character (bold)"/>
    <w:basedOn w:val="DefaultParagraphFont"/>
    <w:uiPriority w:val="2"/>
    <w:qFormat/>
    <w:rsid w:val="005012B2"/>
    <w:rPr>
      <w:b/>
      <w:lang w:val="en-AU"/>
    </w:rPr>
  </w:style>
  <w:style w:type="character" w:customStyle="1" w:styleId="Characteritalic">
    <w:name w:val="Character (italic)"/>
    <w:basedOn w:val="DefaultParagraphFont"/>
    <w:uiPriority w:val="2"/>
    <w:qFormat/>
    <w:rsid w:val="005012B2"/>
    <w:rPr>
      <w:i/>
      <w:lang w:val="en-AU"/>
    </w:rPr>
  </w:style>
  <w:style w:type="character" w:customStyle="1" w:styleId="Charactersubscript">
    <w:name w:val="Character (subscript)"/>
    <w:basedOn w:val="DefaultParagraphFont"/>
    <w:uiPriority w:val="3"/>
    <w:qFormat/>
    <w:rsid w:val="005012B2"/>
    <w:rPr>
      <w:vertAlign w:val="subscript"/>
      <w:lang w:val="en-AU"/>
    </w:rPr>
  </w:style>
  <w:style w:type="character" w:customStyle="1" w:styleId="Charactersuperscript">
    <w:name w:val="Character (superscript)"/>
    <w:basedOn w:val="DefaultParagraphFont"/>
    <w:uiPriority w:val="3"/>
    <w:qFormat/>
    <w:rsid w:val="005012B2"/>
    <w:rPr>
      <w:vertAlign w:val="superscript"/>
      <w:lang w:val="en-AU"/>
    </w:rPr>
  </w:style>
  <w:style w:type="character" w:customStyle="1" w:styleId="Characterunderline">
    <w:name w:val="Character (underline)"/>
    <w:basedOn w:val="DefaultParagraphFont"/>
    <w:uiPriority w:val="2"/>
    <w:qFormat/>
    <w:rsid w:val="005012B2"/>
    <w:rPr>
      <w:u w:val="single"/>
      <w:lang w:val="en-AU"/>
    </w:rPr>
  </w:style>
  <w:style w:type="paragraph" w:styleId="ListParagraph">
    <w:name w:val="List Paragraph"/>
    <w:basedOn w:val="Normal"/>
    <w:uiPriority w:val="99"/>
    <w:semiHidden/>
    <w:qFormat/>
    <w:rsid w:val="0023754A"/>
    <w:pPr>
      <w:ind w:left="720"/>
      <w:contextualSpacing/>
    </w:pPr>
  </w:style>
  <w:style w:type="character" w:customStyle="1" w:styleId="Heading1Char">
    <w:name w:val="Heading 1 Char"/>
    <w:basedOn w:val="DefaultParagraphFont"/>
    <w:link w:val="Heading1"/>
    <w:uiPriority w:val="9"/>
    <w:rsid w:val="00F344BA"/>
    <w:rPr>
      <w:rFonts w:ascii="Arial" w:eastAsia="Times New Roman" w:hAnsi="Arial" w:cs="Arial"/>
      <w:bCs/>
      <w:sz w:val="48"/>
      <w:szCs w:val="32"/>
      <w:lang w:val="en-AU" w:eastAsia="en-AU"/>
    </w:rPr>
  </w:style>
  <w:style w:type="character" w:customStyle="1" w:styleId="Heading2Char">
    <w:name w:val="Heading 2 Char"/>
    <w:basedOn w:val="DefaultParagraphFont"/>
    <w:link w:val="Heading2"/>
    <w:uiPriority w:val="9"/>
    <w:rsid w:val="00DE6C3B"/>
    <w:rPr>
      <w:rFonts w:ascii="Arial" w:eastAsia="Times New Roman" w:hAnsi="Arial" w:cs="Arial"/>
      <w:b/>
      <w:iCs/>
      <w:sz w:val="36"/>
      <w:szCs w:val="28"/>
      <w:lang w:val="en-AU" w:eastAsia="en-AU"/>
    </w:rPr>
  </w:style>
  <w:style w:type="character" w:customStyle="1" w:styleId="Heading3Char">
    <w:name w:val="Heading 3 Char"/>
    <w:basedOn w:val="DefaultParagraphFont"/>
    <w:link w:val="Heading3"/>
    <w:uiPriority w:val="9"/>
    <w:rsid w:val="00DE6C3B"/>
    <w:rPr>
      <w:rFonts w:ascii="Arial" w:eastAsia="Times New Roman" w:hAnsi="Arial" w:cs="Arial"/>
      <w:sz w:val="28"/>
      <w:szCs w:val="26"/>
      <w:lang w:val="en-AU" w:eastAsia="en-AU"/>
    </w:rPr>
  </w:style>
  <w:style w:type="character" w:customStyle="1" w:styleId="Heading4Char">
    <w:name w:val="Heading 4 Char"/>
    <w:basedOn w:val="DefaultParagraphFont"/>
    <w:link w:val="Heading4"/>
    <w:uiPriority w:val="9"/>
    <w:rsid w:val="00DE6C3B"/>
    <w:rPr>
      <w:rFonts w:ascii="Arial" w:eastAsia="Times New Roman" w:hAnsi="Arial" w:cs="Arial"/>
      <w:b/>
      <w:sz w:val="24"/>
      <w:szCs w:val="21"/>
      <w:lang w:val="en-AU" w:eastAsia="en-AU"/>
    </w:rPr>
  </w:style>
  <w:style w:type="character" w:customStyle="1" w:styleId="Heading5Char">
    <w:name w:val="Heading 5 Char"/>
    <w:basedOn w:val="DefaultParagraphFont"/>
    <w:link w:val="Heading5"/>
    <w:uiPriority w:val="9"/>
    <w:rsid w:val="00DE6C3B"/>
    <w:rPr>
      <w:rFonts w:ascii="Arial" w:eastAsia="Times New Roman" w:hAnsi="Arial" w:cs="Times New Roman"/>
      <w:bCs/>
      <w:i/>
      <w:iCs/>
      <w:sz w:val="24"/>
      <w:lang w:val="en-GB" w:eastAsia="en-AU"/>
    </w:rPr>
  </w:style>
  <w:style w:type="paragraph" w:customStyle="1" w:styleId="AppendixHeading1">
    <w:name w:val="Appendix Heading 1"/>
    <w:basedOn w:val="Heading1"/>
    <w:next w:val="BodyText"/>
    <w:uiPriority w:val="11"/>
    <w:qFormat/>
    <w:rsid w:val="005A2727"/>
    <w:pPr>
      <w:keepNext w:val="0"/>
      <w:numPr>
        <w:numId w:val="12"/>
      </w:numPr>
      <w:tabs>
        <w:tab w:val="left" w:pos="2268"/>
      </w:tabs>
      <w:suppressAutoHyphens/>
    </w:pPr>
    <w:rPr>
      <w:szCs w:val="30"/>
    </w:rPr>
  </w:style>
  <w:style w:type="numbering" w:customStyle="1" w:styleId="AppendixHeadingmaster">
    <w:name w:val="Appendix Heading (master)"/>
    <w:uiPriority w:val="99"/>
    <w:rsid w:val="005A2727"/>
    <w:pPr>
      <w:numPr>
        <w:numId w:val="1"/>
      </w:numPr>
    </w:pPr>
  </w:style>
  <w:style w:type="paragraph" w:styleId="BodyText">
    <w:name w:val="Body Text"/>
    <w:basedOn w:val="Normal"/>
    <w:link w:val="BodyTextChar"/>
    <w:qFormat/>
    <w:rsid w:val="00B3476C"/>
  </w:style>
  <w:style w:type="character" w:customStyle="1" w:styleId="BodyTextChar">
    <w:name w:val="Body Text Char"/>
    <w:basedOn w:val="DefaultParagraphFont"/>
    <w:link w:val="BodyText"/>
    <w:rsid w:val="00B3476C"/>
    <w:rPr>
      <w:rFonts w:ascii="Arial" w:hAnsi="Arial"/>
      <w:sz w:val="24"/>
      <w:lang w:val="en-AU"/>
    </w:rPr>
  </w:style>
  <w:style w:type="paragraph" w:customStyle="1" w:styleId="AppendixHeading2">
    <w:name w:val="Appendix Heading 2"/>
    <w:basedOn w:val="AppendixHeading1"/>
    <w:next w:val="BodyText"/>
    <w:uiPriority w:val="11"/>
    <w:qFormat/>
    <w:rsid w:val="00744030"/>
    <w:pPr>
      <w:keepNext/>
      <w:pageBreakBefore w:val="0"/>
      <w:numPr>
        <w:ilvl w:val="1"/>
      </w:numPr>
      <w:spacing w:before="300" w:after="0"/>
    </w:pPr>
    <w:rPr>
      <w:b/>
      <w:sz w:val="36"/>
    </w:rPr>
  </w:style>
  <w:style w:type="paragraph" w:customStyle="1" w:styleId="AppendixHeading3">
    <w:name w:val="Appendix Heading 3"/>
    <w:basedOn w:val="Heading1"/>
    <w:next w:val="BodyText"/>
    <w:uiPriority w:val="11"/>
    <w:semiHidden/>
    <w:rsid w:val="000419F4"/>
    <w:pPr>
      <w:suppressAutoHyphens/>
      <w:spacing w:line="312" w:lineRule="auto"/>
    </w:pPr>
    <w:rPr>
      <w:b/>
      <w:color w:val="0C9FCD"/>
      <w:sz w:val="26"/>
      <w:szCs w:val="30"/>
    </w:rPr>
  </w:style>
  <w:style w:type="paragraph" w:customStyle="1" w:styleId="Heading1non-numbered">
    <w:name w:val="Heading 1 (non-numbered)"/>
    <w:basedOn w:val="Heading1"/>
    <w:next w:val="BodyText"/>
    <w:uiPriority w:val="10"/>
    <w:semiHidden/>
    <w:qFormat/>
    <w:rsid w:val="00F43C28"/>
    <w:pPr>
      <w:pageBreakBefore w:val="0"/>
      <w:numPr>
        <w:numId w:val="0"/>
      </w:numPr>
    </w:pPr>
  </w:style>
  <w:style w:type="numbering" w:customStyle="1" w:styleId="Headingsmaster">
    <w:name w:val="Headings (master)"/>
    <w:uiPriority w:val="99"/>
    <w:rsid w:val="00F344BA"/>
    <w:pPr>
      <w:numPr>
        <w:numId w:val="3"/>
      </w:numPr>
    </w:pPr>
  </w:style>
  <w:style w:type="paragraph" w:customStyle="1" w:styleId="Image">
    <w:name w:val="Image"/>
    <w:basedOn w:val="Normal"/>
    <w:next w:val="BodyText"/>
    <w:uiPriority w:val="19"/>
    <w:qFormat/>
    <w:rsid w:val="009F6BB7"/>
    <w:pPr>
      <w:spacing w:before="120" w:line="260" w:lineRule="atLeast"/>
    </w:pPr>
    <w:rPr>
      <w:rFonts w:eastAsia="Times New Roman" w:cs="Times New Roman"/>
      <w:szCs w:val="24"/>
      <w:lang w:eastAsia="en-AU"/>
    </w:rPr>
  </w:style>
  <w:style w:type="paragraph" w:customStyle="1" w:styleId="InstructionalText">
    <w:name w:val="Instructional Text"/>
    <w:basedOn w:val="Normal"/>
    <w:uiPriority w:val="40"/>
    <w:semiHidden/>
    <w:rsid w:val="000419F4"/>
    <w:pPr>
      <w:spacing w:after="80" w:line="288" w:lineRule="auto"/>
    </w:pPr>
    <w:rPr>
      <w:rFonts w:eastAsia="Times New Roman" w:cs="Times New Roman"/>
      <w:vanish/>
      <w:color w:val="FF0000"/>
      <w:sz w:val="16"/>
      <w:szCs w:val="24"/>
      <w:lang w:eastAsia="en-GB"/>
    </w:rPr>
  </w:style>
  <w:style w:type="paragraph" w:customStyle="1" w:styleId="TableNote">
    <w:name w:val="Table Note"/>
    <w:basedOn w:val="TableBodyText"/>
    <w:next w:val="BodyText"/>
    <w:uiPriority w:val="15"/>
    <w:qFormat/>
    <w:rsid w:val="006C6CDE"/>
    <w:pPr>
      <w:spacing w:before="80" w:after="80" w:line="200" w:lineRule="atLeast"/>
    </w:pPr>
  </w:style>
  <w:style w:type="paragraph" w:customStyle="1" w:styleId="TableBodyTextrightalign">
    <w:name w:val="Table Body Text (right align)"/>
    <w:basedOn w:val="TableBodyText"/>
    <w:uiPriority w:val="15"/>
    <w:qFormat/>
    <w:rsid w:val="00E12845"/>
    <w:pPr>
      <w:jc w:val="right"/>
    </w:pPr>
  </w:style>
  <w:style w:type="table" w:styleId="TableGrid">
    <w:name w:val="Table Grid"/>
    <w:basedOn w:val="TableNormal"/>
    <w:uiPriority w:val="59"/>
    <w:rsid w:val="00D32F3C"/>
    <w:pPr>
      <w:spacing w:after="0" w:line="240" w:lineRule="auto"/>
    </w:pPr>
    <w:rPr>
      <w:rFonts w:ascii="Arial" w:hAnsi="Arial"/>
      <w:sz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auto"/>
    </w:tcPr>
    <w:tblStylePr w:type="firstRow">
      <w:rPr>
        <w:rFonts w:ascii="Arial" w:hAnsi="Arial"/>
        <w:b w:val="0"/>
        <w:sz w:val="18"/>
      </w:rPr>
      <w:tblPr/>
      <w:trPr>
        <w:tblHeader/>
      </w:trPr>
      <w:tcPr>
        <w:shd w:val="clear" w:color="auto" w:fill="F2F2F2" w:themeFill="background1" w:themeFillShade="F2"/>
      </w:tcPr>
    </w:tblStylePr>
  </w:style>
  <w:style w:type="paragraph" w:styleId="Quote">
    <w:name w:val="Quote"/>
    <w:basedOn w:val="Normal"/>
    <w:link w:val="QuoteChar"/>
    <w:uiPriority w:val="18"/>
    <w:qFormat/>
    <w:rsid w:val="003E33DC"/>
    <w:pPr>
      <w:spacing w:before="120" w:line="260" w:lineRule="atLeast"/>
      <w:ind w:left="714" w:right="714"/>
    </w:pPr>
    <w:rPr>
      <w:iCs/>
    </w:rPr>
  </w:style>
  <w:style w:type="character" w:customStyle="1" w:styleId="QuoteChar">
    <w:name w:val="Quote Char"/>
    <w:basedOn w:val="DefaultParagraphFont"/>
    <w:link w:val="Quote"/>
    <w:uiPriority w:val="18"/>
    <w:rsid w:val="003E33DC"/>
    <w:rPr>
      <w:rFonts w:ascii="Arial" w:hAnsi="Arial"/>
      <w:iCs/>
      <w:sz w:val="24"/>
      <w:lang w:val="en-AU"/>
    </w:rPr>
  </w:style>
  <w:style w:type="paragraph" w:styleId="Header">
    <w:name w:val="header"/>
    <w:basedOn w:val="Normal"/>
    <w:link w:val="HeaderChar"/>
    <w:uiPriority w:val="24"/>
    <w:semiHidden/>
    <w:rsid w:val="00E84AA7"/>
    <w:pPr>
      <w:tabs>
        <w:tab w:val="right" w:pos="0"/>
        <w:tab w:val="center" w:pos="4680"/>
        <w:tab w:val="right" w:pos="9360"/>
      </w:tabs>
      <w:spacing w:before="0" w:after="0"/>
    </w:pPr>
    <w:rPr>
      <w:sz w:val="18"/>
    </w:rPr>
  </w:style>
  <w:style w:type="character" w:customStyle="1" w:styleId="HeaderChar">
    <w:name w:val="Header Char"/>
    <w:basedOn w:val="DefaultParagraphFont"/>
    <w:link w:val="Header"/>
    <w:uiPriority w:val="24"/>
    <w:semiHidden/>
    <w:rsid w:val="002E76E0"/>
    <w:rPr>
      <w:rFonts w:ascii="Arial" w:hAnsi="Arial"/>
      <w:sz w:val="18"/>
      <w:lang w:val="en-AU"/>
    </w:rPr>
  </w:style>
  <w:style w:type="paragraph" w:styleId="Footer">
    <w:name w:val="footer"/>
    <w:basedOn w:val="Normal"/>
    <w:link w:val="FooterChar"/>
    <w:uiPriority w:val="24"/>
    <w:semiHidden/>
    <w:rsid w:val="00E84AA7"/>
    <w:pPr>
      <w:tabs>
        <w:tab w:val="right" w:pos="14629"/>
      </w:tabs>
      <w:spacing w:before="0" w:after="0"/>
    </w:pPr>
    <w:rPr>
      <w:sz w:val="18"/>
    </w:rPr>
  </w:style>
  <w:style w:type="character" w:customStyle="1" w:styleId="FooterChar">
    <w:name w:val="Footer Char"/>
    <w:basedOn w:val="DefaultParagraphFont"/>
    <w:link w:val="Footer"/>
    <w:uiPriority w:val="24"/>
    <w:semiHidden/>
    <w:rsid w:val="002E76E0"/>
    <w:rPr>
      <w:rFonts w:ascii="Arial" w:hAnsi="Arial"/>
      <w:sz w:val="18"/>
      <w:lang w:val="en-AU"/>
    </w:rPr>
  </w:style>
  <w:style w:type="character" w:styleId="PageNumber">
    <w:name w:val="page number"/>
    <w:basedOn w:val="DefaultParagraphFont"/>
    <w:uiPriority w:val="24"/>
    <w:semiHidden/>
    <w:rsid w:val="005012B2"/>
    <w:rPr>
      <w:lang w:val="en-AU"/>
    </w:rPr>
  </w:style>
  <w:style w:type="table" w:styleId="LightShading">
    <w:name w:val="Light Shading"/>
    <w:basedOn w:val="TableNormal"/>
    <w:uiPriority w:val="60"/>
    <w:locked/>
    <w:rsid w:val="009076EA"/>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locked/>
    <w:rsid w:val="009076EA"/>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paragraph" w:styleId="Title">
    <w:name w:val="Title"/>
    <w:basedOn w:val="Normal"/>
    <w:next w:val="BodyText"/>
    <w:link w:val="TitleChar"/>
    <w:uiPriority w:val="24"/>
    <w:rsid w:val="00270F83"/>
    <w:pPr>
      <w:spacing w:before="1600" w:after="0"/>
      <w:contextualSpacing/>
    </w:pPr>
    <w:rPr>
      <w:rFonts w:eastAsiaTheme="majorEastAsia" w:cstheme="majorBidi"/>
      <w:color w:val="FFFFFF" w:themeColor="background1"/>
      <w:kern w:val="28"/>
      <w:sz w:val="80"/>
      <w:szCs w:val="52"/>
    </w:rPr>
  </w:style>
  <w:style w:type="character" w:customStyle="1" w:styleId="TitleChar">
    <w:name w:val="Title Char"/>
    <w:basedOn w:val="DefaultParagraphFont"/>
    <w:link w:val="Title"/>
    <w:uiPriority w:val="24"/>
    <w:rsid w:val="00270F83"/>
    <w:rPr>
      <w:rFonts w:ascii="Arial" w:eastAsiaTheme="majorEastAsia" w:hAnsi="Arial" w:cstheme="majorBidi"/>
      <w:color w:val="FFFFFF" w:themeColor="background1"/>
      <w:kern w:val="28"/>
      <w:sz w:val="80"/>
      <w:szCs w:val="52"/>
      <w:lang w:val="en-AU"/>
    </w:rPr>
  </w:style>
  <w:style w:type="paragraph" w:styleId="Subtitle">
    <w:name w:val="Subtitle"/>
    <w:basedOn w:val="Normal"/>
    <w:next w:val="BodyText"/>
    <w:link w:val="SubtitleChar"/>
    <w:uiPriority w:val="24"/>
    <w:rsid w:val="00F65FB2"/>
    <w:pPr>
      <w:numPr>
        <w:ilvl w:val="1"/>
      </w:numPr>
      <w:spacing w:before="0" w:after="200"/>
    </w:pPr>
    <w:rPr>
      <w:rFonts w:eastAsiaTheme="majorEastAsia" w:cstheme="majorBidi"/>
      <w:iCs/>
      <w:color w:val="FFFFFF" w:themeColor="background1"/>
      <w:sz w:val="56"/>
      <w:szCs w:val="24"/>
    </w:rPr>
  </w:style>
  <w:style w:type="character" w:customStyle="1" w:styleId="SubtitleChar">
    <w:name w:val="Subtitle Char"/>
    <w:basedOn w:val="DefaultParagraphFont"/>
    <w:link w:val="Subtitle"/>
    <w:uiPriority w:val="24"/>
    <w:rsid w:val="00F65FB2"/>
    <w:rPr>
      <w:rFonts w:ascii="Arial" w:eastAsiaTheme="majorEastAsia" w:hAnsi="Arial" w:cstheme="majorBidi"/>
      <w:iCs/>
      <w:color w:val="FFFFFF" w:themeColor="background1"/>
      <w:sz w:val="56"/>
      <w:szCs w:val="24"/>
      <w:lang w:val="en-AU"/>
    </w:rPr>
  </w:style>
  <w:style w:type="numbering" w:customStyle="1" w:styleId="ListAlphanumericmaster">
    <w:name w:val="List Alphanumeric (master)"/>
    <w:uiPriority w:val="99"/>
    <w:rsid w:val="003D2B56"/>
    <w:pPr>
      <w:numPr>
        <w:numId w:val="9"/>
      </w:numPr>
    </w:pPr>
  </w:style>
  <w:style w:type="paragraph" w:styleId="TOCHeading">
    <w:name w:val="TOC Heading"/>
    <w:basedOn w:val="Heading1"/>
    <w:next w:val="Normal"/>
    <w:uiPriority w:val="24"/>
    <w:semiHidden/>
    <w:rsid w:val="00AE0185"/>
    <w:pPr>
      <w:keepLines/>
      <w:pageBreakBefore w:val="0"/>
      <w:numPr>
        <w:numId w:val="0"/>
      </w:numPr>
      <w:outlineLvl w:val="9"/>
    </w:pPr>
    <w:rPr>
      <w:rFonts w:eastAsiaTheme="majorEastAsia" w:cstheme="majorBidi"/>
      <w:szCs w:val="28"/>
      <w:lang w:eastAsia="en-US"/>
    </w:rPr>
  </w:style>
  <w:style w:type="paragraph" w:styleId="TOC1">
    <w:name w:val="toc 1"/>
    <w:basedOn w:val="Normal"/>
    <w:next w:val="Normal"/>
    <w:autoRedefine/>
    <w:uiPriority w:val="39"/>
    <w:rsid w:val="00F344BA"/>
    <w:pPr>
      <w:tabs>
        <w:tab w:val="left" w:pos="680"/>
        <w:tab w:val="right" w:leader="dot" w:pos="9017"/>
      </w:tabs>
      <w:spacing w:before="240" w:after="0"/>
      <w:ind w:left="1247" w:right="851" w:hanging="1247"/>
    </w:pPr>
    <w:rPr>
      <w:b/>
    </w:rPr>
  </w:style>
  <w:style w:type="paragraph" w:styleId="TOC2">
    <w:name w:val="toc 2"/>
    <w:basedOn w:val="Normal"/>
    <w:next w:val="Normal"/>
    <w:autoRedefine/>
    <w:uiPriority w:val="39"/>
    <w:rsid w:val="00040AE7"/>
    <w:pPr>
      <w:tabs>
        <w:tab w:val="left" w:pos="680"/>
        <w:tab w:val="right" w:leader="dot" w:pos="9017"/>
      </w:tabs>
      <w:spacing w:before="120" w:after="0"/>
      <w:ind w:right="851"/>
    </w:pPr>
  </w:style>
  <w:style w:type="character" w:styleId="Hyperlink">
    <w:name w:val="Hyperlink"/>
    <w:basedOn w:val="DefaultParagraphFont"/>
    <w:uiPriority w:val="99"/>
    <w:qFormat/>
    <w:rsid w:val="00452A9D"/>
    <w:rPr>
      <w:color w:val="0000FF" w:themeColor="hyperlink"/>
      <w:u w:val="single"/>
    </w:rPr>
  </w:style>
  <w:style w:type="paragraph" w:styleId="TOC3">
    <w:name w:val="toc 3"/>
    <w:basedOn w:val="Normal"/>
    <w:next w:val="Normal"/>
    <w:autoRedefine/>
    <w:uiPriority w:val="39"/>
    <w:semiHidden/>
    <w:rsid w:val="009C2D9E"/>
    <w:pPr>
      <w:tabs>
        <w:tab w:val="left" w:pos="680"/>
        <w:tab w:val="right" w:leader="dot" w:pos="9017"/>
      </w:tabs>
      <w:spacing w:after="100"/>
      <w:ind w:left="340" w:right="851"/>
    </w:pPr>
    <w:rPr>
      <w:i/>
      <w:sz w:val="20"/>
    </w:rPr>
  </w:style>
  <w:style w:type="paragraph" w:styleId="Caption">
    <w:name w:val="caption"/>
    <w:basedOn w:val="Normal"/>
    <w:next w:val="BodyText"/>
    <w:uiPriority w:val="22"/>
    <w:semiHidden/>
    <w:rsid w:val="00904146"/>
    <w:pPr>
      <w:spacing w:before="140" w:after="40" w:line="240" w:lineRule="atLeast"/>
    </w:pPr>
    <w:rPr>
      <w:b/>
      <w:bCs/>
      <w:szCs w:val="18"/>
    </w:rPr>
  </w:style>
  <w:style w:type="paragraph" w:customStyle="1" w:styleId="Footerlandscape">
    <w:name w:val="Footer (landscape)"/>
    <w:basedOn w:val="Footer"/>
    <w:uiPriority w:val="24"/>
    <w:semiHidden/>
    <w:rsid w:val="008331A3"/>
    <w:pPr>
      <w:tabs>
        <w:tab w:val="right" w:pos="13608"/>
      </w:tabs>
    </w:pPr>
  </w:style>
  <w:style w:type="paragraph" w:customStyle="1" w:styleId="Headerlandscape">
    <w:name w:val="Header (landscape)"/>
    <w:basedOn w:val="Header"/>
    <w:uiPriority w:val="24"/>
    <w:semiHidden/>
    <w:rsid w:val="005012B2"/>
    <w:pPr>
      <w:tabs>
        <w:tab w:val="clear" w:pos="9360"/>
        <w:tab w:val="right" w:pos="13608"/>
      </w:tabs>
    </w:pPr>
  </w:style>
  <w:style w:type="paragraph" w:customStyle="1" w:styleId="ListLegal">
    <w:name w:val="List Legal"/>
    <w:basedOn w:val="ListNumber"/>
    <w:uiPriority w:val="8"/>
    <w:semiHidden/>
    <w:qFormat/>
    <w:rsid w:val="00291313"/>
    <w:pPr>
      <w:numPr>
        <w:numId w:val="11"/>
      </w:numPr>
    </w:pPr>
  </w:style>
  <w:style w:type="numbering" w:customStyle="1" w:styleId="ListLegalmaster">
    <w:name w:val="List Legal (master)"/>
    <w:uiPriority w:val="99"/>
    <w:rsid w:val="00291313"/>
    <w:pPr>
      <w:numPr>
        <w:numId w:val="10"/>
      </w:numPr>
    </w:pPr>
  </w:style>
  <w:style w:type="paragraph" w:customStyle="1" w:styleId="ListLegal2">
    <w:name w:val="List Legal 2"/>
    <w:basedOn w:val="ListNumber2"/>
    <w:uiPriority w:val="8"/>
    <w:semiHidden/>
    <w:qFormat/>
    <w:rsid w:val="00291313"/>
    <w:pPr>
      <w:numPr>
        <w:numId w:val="11"/>
      </w:numPr>
      <w:tabs>
        <w:tab w:val="left" w:pos="1077"/>
      </w:tabs>
    </w:pPr>
  </w:style>
  <w:style w:type="paragraph" w:customStyle="1" w:styleId="ListLegal3">
    <w:name w:val="List Legal 3"/>
    <w:basedOn w:val="ListLegal2"/>
    <w:uiPriority w:val="8"/>
    <w:semiHidden/>
    <w:qFormat/>
    <w:rsid w:val="00291313"/>
    <w:pPr>
      <w:numPr>
        <w:ilvl w:val="2"/>
      </w:numPr>
      <w:tabs>
        <w:tab w:val="clear" w:pos="1077"/>
        <w:tab w:val="left" w:pos="1435"/>
      </w:tabs>
    </w:pPr>
  </w:style>
  <w:style w:type="paragraph" w:customStyle="1" w:styleId="DocumentDetails">
    <w:name w:val="Document Details"/>
    <w:basedOn w:val="Normal"/>
    <w:next w:val="BodyText"/>
    <w:uiPriority w:val="24"/>
    <w:semiHidden/>
    <w:rsid w:val="005012B2"/>
    <w:pPr>
      <w:spacing w:before="120"/>
      <w:jc w:val="center"/>
    </w:pPr>
  </w:style>
  <w:style w:type="paragraph" w:customStyle="1" w:styleId="SingleSpace">
    <w:name w:val="Single Space"/>
    <w:basedOn w:val="BodyText"/>
    <w:uiPriority w:val="21"/>
    <w:semiHidden/>
    <w:rsid w:val="0069066D"/>
    <w:pPr>
      <w:spacing w:before="0" w:after="0"/>
    </w:pPr>
    <w:rPr>
      <w:sz w:val="2"/>
    </w:rPr>
  </w:style>
  <w:style w:type="character" w:customStyle="1" w:styleId="Characteryellowhighlight">
    <w:name w:val="Character (yellow highlight)"/>
    <w:basedOn w:val="DefaultParagraphFont"/>
    <w:uiPriority w:val="2"/>
    <w:qFormat/>
    <w:rsid w:val="005012B2"/>
    <w:rPr>
      <w:bdr w:val="none" w:sz="0" w:space="0" w:color="auto"/>
      <w:shd w:val="clear" w:color="auto" w:fill="FFFF00"/>
      <w:lang w:val="en-AU"/>
    </w:rPr>
  </w:style>
  <w:style w:type="paragraph" w:styleId="TableofFigures">
    <w:name w:val="table of figures"/>
    <w:basedOn w:val="Normal"/>
    <w:next w:val="Normal"/>
    <w:uiPriority w:val="99"/>
    <w:rsid w:val="00F344BA"/>
    <w:pPr>
      <w:spacing w:before="120" w:after="0"/>
      <w:ind w:right="851"/>
    </w:pPr>
  </w:style>
  <w:style w:type="paragraph" w:customStyle="1" w:styleId="BodyTextindent">
    <w:name w:val="Body Text (indent)"/>
    <w:basedOn w:val="BodyText"/>
    <w:qFormat/>
    <w:rsid w:val="001C4183"/>
    <w:pPr>
      <w:ind w:left="357"/>
    </w:pPr>
  </w:style>
  <w:style w:type="paragraph" w:customStyle="1" w:styleId="BodyTextindent2">
    <w:name w:val="Body Text (indent 2)"/>
    <w:basedOn w:val="BodyText"/>
    <w:uiPriority w:val="1"/>
    <w:qFormat/>
    <w:rsid w:val="001C4183"/>
    <w:pPr>
      <w:ind w:left="714"/>
    </w:pPr>
  </w:style>
  <w:style w:type="paragraph" w:customStyle="1" w:styleId="BodyTextindent3">
    <w:name w:val="Body Text (indent 3)"/>
    <w:basedOn w:val="BodyText"/>
    <w:uiPriority w:val="1"/>
    <w:semiHidden/>
    <w:qFormat/>
    <w:rsid w:val="001C4183"/>
    <w:pPr>
      <w:ind w:left="1077"/>
    </w:pPr>
  </w:style>
  <w:style w:type="character" w:customStyle="1" w:styleId="Charactersourcecode">
    <w:name w:val="Character (source code)"/>
    <w:basedOn w:val="DefaultParagraphFont"/>
    <w:uiPriority w:val="3"/>
    <w:semiHidden/>
    <w:qFormat/>
    <w:rsid w:val="00CA539A"/>
    <w:rPr>
      <w:rFonts w:ascii="Courier New" w:hAnsi="Courier New"/>
    </w:rPr>
  </w:style>
  <w:style w:type="paragraph" w:customStyle="1" w:styleId="EndNoteBibliography">
    <w:name w:val="EndNote Bibliography"/>
    <w:basedOn w:val="BodyText"/>
    <w:link w:val="EndNoteBibliographyChar"/>
    <w:uiPriority w:val="23"/>
    <w:semiHidden/>
    <w:rsid w:val="00402E7E"/>
    <w:pPr>
      <w:ind w:left="720" w:hanging="720"/>
    </w:pPr>
    <w:rPr>
      <w:rFonts w:cs="Calibri"/>
      <w:noProof/>
      <w:szCs w:val="22"/>
    </w:rPr>
  </w:style>
  <w:style w:type="character" w:customStyle="1" w:styleId="EndNoteBibliographyChar">
    <w:name w:val="EndNote Bibliography Char"/>
    <w:basedOn w:val="BodyTextChar"/>
    <w:link w:val="EndNoteBibliography"/>
    <w:uiPriority w:val="23"/>
    <w:semiHidden/>
    <w:rsid w:val="000C0F81"/>
    <w:rPr>
      <w:rFonts w:ascii="Arial" w:hAnsi="Arial" w:cs="Calibri"/>
      <w:noProof/>
      <w:sz w:val="24"/>
      <w:szCs w:val="22"/>
      <w:lang w:val="en-AU"/>
    </w:rPr>
  </w:style>
  <w:style w:type="paragraph" w:customStyle="1" w:styleId="EndNoteBibliographyTitle">
    <w:name w:val="EndNote Bibliography Title"/>
    <w:basedOn w:val="Heading1"/>
    <w:next w:val="EndNoteBibliography"/>
    <w:link w:val="EndNoteBibliographyTitleChar4"/>
    <w:uiPriority w:val="23"/>
    <w:semiHidden/>
    <w:rsid w:val="003E33DC"/>
    <w:pPr>
      <w:pageBreakBefore w:val="0"/>
      <w:numPr>
        <w:numId w:val="0"/>
      </w:numPr>
      <w:spacing w:before="120"/>
    </w:pPr>
    <w:rPr>
      <w:rFonts w:cs="Calibri"/>
      <w:i/>
      <w:noProof/>
      <w:sz w:val="24"/>
    </w:rPr>
  </w:style>
  <w:style w:type="character" w:customStyle="1" w:styleId="EndNoteBibliographyTitleChar4">
    <w:name w:val="EndNote Bibliography Title Char4"/>
    <w:basedOn w:val="BodyTextChar"/>
    <w:link w:val="EndNoteBibliographyTitle"/>
    <w:uiPriority w:val="23"/>
    <w:semiHidden/>
    <w:rsid w:val="000C0F81"/>
    <w:rPr>
      <w:rFonts w:ascii="Arial" w:eastAsia="Times New Roman" w:hAnsi="Arial" w:cs="Calibri"/>
      <w:bCs/>
      <w:i/>
      <w:noProof/>
      <w:sz w:val="24"/>
      <w:szCs w:val="32"/>
      <w:lang w:val="en-AU" w:eastAsia="en-AU"/>
    </w:rPr>
  </w:style>
  <w:style w:type="character" w:styleId="PlaceholderText">
    <w:name w:val="Placeholder Text"/>
    <w:basedOn w:val="DefaultParagraphFont"/>
    <w:uiPriority w:val="99"/>
    <w:semiHidden/>
    <w:rsid w:val="00902D12"/>
    <w:rPr>
      <w:color w:val="FF0000"/>
    </w:rPr>
  </w:style>
  <w:style w:type="paragraph" w:styleId="TOC4">
    <w:name w:val="toc 4"/>
    <w:basedOn w:val="TOC1"/>
    <w:next w:val="Normal"/>
    <w:autoRedefine/>
    <w:uiPriority w:val="39"/>
    <w:rsid w:val="00F344BA"/>
    <w:pPr>
      <w:tabs>
        <w:tab w:val="left" w:pos="1418"/>
      </w:tabs>
      <w:ind w:left="1418" w:hanging="1418"/>
    </w:pPr>
    <w:rPr>
      <w:b w:val="0"/>
      <w:noProof/>
    </w:rPr>
  </w:style>
  <w:style w:type="paragraph" w:customStyle="1" w:styleId="BodyTextindent4">
    <w:name w:val="Body Text (indent 4)"/>
    <w:basedOn w:val="BodyText"/>
    <w:uiPriority w:val="1"/>
    <w:semiHidden/>
    <w:qFormat/>
    <w:rsid w:val="00291313"/>
    <w:pPr>
      <w:ind w:left="1435"/>
    </w:pPr>
  </w:style>
  <w:style w:type="paragraph" w:styleId="FootnoteText">
    <w:name w:val="footnote text"/>
    <w:aliases w:val="single space Char,single space,Footnote reference,FA Fu,Footnote Text Char Char Char Char Char,Footnote Text Char Char Char Char,vFootnote Text,Footnote Text Char1,Footnote Text Char Char,Footnote Text Char1 Char Char"/>
    <w:basedOn w:val="Normal"/>
    <w:link w:val="FootnoteTextChar"/>
    <w:uiPriority w:val="99"/>
    <w:rsid w:val="00E23C2C"/>
    <w:pPr>
      <w:spacing w:before="0" w:after="80"/>
      <w:ind w:left="113" w:hanging="113"/>
    </w:pPr>
    <w:rPr>
      <w:sz w:val="18"/>
    </w:rPr>
  </w:style>
  <w:style w:type="character" w:customStyle="1" w:styleId="FootnoteTextChar">
    <w:name w:val="Footnote Text Char"/>
    <w:aliases w:val="single space Char Char,single space Char1,Footnote reference Char,FA Fu Char,Footnote Text Char Char Char Char Char Char,Footnote Text Char Char Char Char Char1,vFootnote Text Char,Footnote Text Char1 Char,Footnote Text Char Char Char"/>
    <w:basedOn w:val="DefaultParagraphFont"/>
    <w:link w:val="FootnoteText"/>
    <w:uiPriority w:val="99"/>
    <w:rsid w:val="00E23C2C"/>
    <w:rPr>
      <w:rFonts w:ascii="Arial" w:hAnsi="Arial"/>
      <w:sz w:val="18"/>
      <w:lang w:val="en-AU"/>
    </w:rPr>
  </w:style>
  <w:style w:type="character" w:styleId="FootnoteReference">
    <w:name w:val="footnote reference"/>
    <w:aliases w:val="Footnote,Footnotes refss,4_G,Footnote number,Stinking Styles,Footnotes refss Char Char1,4_G Char Char Char1 Char Char Char Char Char Char,Footnote Reference1 Char Char Char1 Char Char Char Char Char Char"/>
    <w:basedOn w:val="DefaultParagraphFont"/>
    <w:link w:val="FootnotesrefssChar"/>
    <w:uiPriority w:val="99"/>
    <w:qFormat/>
    <w:rsid w:val="00600004"/>
    <w:rPr>
      <w:vertAlign w:val="superscript"/>
    </w:rPr>
  </w:style>
  <w:style w:type="table" w:customStyle="1" w:styleId="CustomTabledetailed">
    <w:name w:val="Custom Table (detailed)"/>
    <w:basedOn w:val="TableNormal"/>
    <w:uiPriority w:val="99"/>
    <w:rsid w:val="007C1A44"/>
    <w:pPr>
      <w:spacing w:after="0" w:line="240" w:lineRule="auto"/>
    </w:pPr>
    <w:rPr>
      <w:rFonts w:ascii="Arial" w:hAnsi="Arial"/>
      <w:sz w:val="18"/>
    </w:rPr>
    <w:tblPr>
      <w:tblStyleRowBandSize w:val="1"/>
      <w:tblStyleColBandSize w:val="1"/>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Pr>
    <w:trPr>
      <w:cantSplit/>
    </w:trPr>
    <w:tblStylePr w:type="firstRow">
      <w:rPr>
        <w:b w:val="0"/>
        <w:color w:val="FFFFFF" w:themeColor="background1"/>
      </w:rPr>
      <w:tblPr/>
      <w:trPr>
        <w:cantSplit w:val="0"/>
        <w:tblHeader/>
      </w:trPr>
      <w:tcPr>
        <w:shd w:val="clear" w:color="auto" w:fill="808080" w:themeFill="background1" w:themeFillShade="80"/>
      </w:tcPr>
    </w:tblStylePr>
    <w:tblStylePr w:type="lastRow">
      <w:tblPr/>
      <w:tcPr>
        <w:shd w:val="clear" w:color="auto" w:fill="D9D9D9" w:themeFill="background1" w:themeFillShade="D9"/>
      </w:tcPr>
    </w:tblStylePr>
    <w:tblStylePr w:type="firstCol">
      <w:rPr>
        <w:b w:val="0"/>
        <w:color w:val="FFFFFF" w:themeColor="background1"/>
      </w:rPr>
      <w:tblPr/>
      <w:tcPr>
        <w:shd w:val="clear" w:color="auto" w:fill="808080" w:themeFill="background1" w:themeFillShade="80"/>
      </w:tcPr>
    </w:tblStylePr>
    <w:tblStylePr w:type="band2Vert">
      <w:tblPr/>
      <w:tcPr>
        <w:shd w:val="clear" w:color="auto" w:fill="F2F2F2" w:themeFill="background1" w:themeFillShade="F2"/>
      </w:tcPr>
    </w:tblStylePr>
    <w:tblStylePr w:type="band2Horz">
      <w:tblPr/>
      <w:tcPr>
        <w:shd w:val="clear" w:color="auto" w:fill="F2F2F2" w:themeFill="background1" w:themeFillShade="F2"/>
      </w:tcPr>
    </w:tblStylePr>
  </w:style>
  <w:style w:type="table" w:customStyle="1" w:styleId="CustomTablebasic">
    <w:name w:val="Custom Table (basic)"/>
    <w:basedOn w:val="TableNormal"/>
    <w:uiPriority w:val="99"/>
    <w:rsid w:val="007362F3"/>
    <w:pPr>
      <w:spacing w:after="0" w:line="240" w:lineRule="auto"/>
    </w:pPr>
    <w:rPr>
      <w:rFonts w:ascii="Arial" w:hAnsi="Arial"/>
      <w:sz w:val="18"/>
    </w:rPr>
    <w:tblPr>
      <w:tblStyleRowBandSize w:val="1"/>
      <w:tblStyleColBandSize w:val="1"/>
      <w:tblBorders>
        <w:top w:val="single" w:sz="4" w:space="0" w:color="B4C6E7"/>
        <w:bottom w:val="single" w:sz="4" w:space="0" w:color="B4C6E7"/>
        <w:insideH w:val="single" w:sz="4" w:space="0" w:color="B4C6E7"/>
        <w:insideV w:val="single" w:sz="4" w:space="0" w:color="B4C6E7"/>
      </w:tblBorders>
    </w:tblPr>
    <w:trPr>
      <w:cantSplit/>
    </w:trPr>
    <w:tblStylePr w:type="firstRow">
      <w:rPr>
        <w:b w:val="0"/>
        <w:color w:val="auto"/>
      </w:rPr>
    </w:tblStylePr>
    <w:tblStylePr w:type="firstCol">
      <w:rPr>
        <w:b w:val="0"/>
        <w:color w:val="auto"/>
      </w:rPr>
    </w:tblStylePr>
  </w:style>
  <w:style w:type="table" w:customStyle="1" w:styleId="CustomTablestandard">
    <w:name w:val="Custom Table (standard)"/>
    <w:basedOn w:val="TableNormal"/>
    <w:uiPriority w:val="99"/>
    <w:rsid w:val="003E33DC"/>
    <w:pPr>
      <w:spacing w:after="0" w:line="240" w:lineRule="auto"/>
    </w:pPr>
    <w:rPr>
      <w:rFonts w:ascii="Arial" w:hAnsi="Arial"/>
      <w:sz w:val="18"/>
    </w:rPr>
    <w:tblPr>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Pr>
    <w:trPr>
      <w:cantSplit/>
    </w:trPr>
    <w:tblStylePr w:type="firstRow">
      <w:rPr>
        <w:rFonts w:ascii="Arial" w:hAnsi="Arial"/>
        <w:b w:val="0"/>
        <w:color w:val="FFFFFF" w:themeColor="background1"/>
      </w:rPr>
      <w:tblPr/>
      <w:trPr>
        <w:cantSplit w:val="0"/>
        <w:tblHeader/>
      </w:trPr>
      <w:tcPr>
        <w:shd w:val="clear" w:color="auto" w:fill="808080" w:themeFill="background1" w:themeFillShade="80"/>
      </w:tcPr>
    </w:tblStylePr>
  </w:style>
  <w:style w:type="table" w:customStyle="1" w:styleId="CustomTableplaceholder">
    <w:name w:val="Custom Table (placeholder)"/>
    <w:basedOn w:val="TableNormal"/>
    <w:uiPriority w:val="99"/>
    <w:rsid w:val="007C1A44"/>
    <w:pPr>
      <w:spacing w:after="0" w:line="240" w:lineRule="auto"/>
    </w:pPr>
    <w:rPr>
      <w:rFonts w:ascii="Arial" w:hAnsi="Arial"/>
    </w:rPr>
    <w:tblPr/>
  </w:style>
  <w:style w:type="character" w:styleId="UnresolvedMention">
    <w:name w:val="Unresolved Mention"/>
    <w:basedOn w:val="DefaultParagraphFont"/>
    <w:uiPriority w:val="99"/>
    <w:semiHidden/>
    <w:rsid w:val="00902D12"/>
    <w:rPr>
      <w:color w:val="605E5C"/>
      <w:shd w:val="clear" w:color="auto" w:fill="E1DFDD"/>
    </w:rPr>
  </w:style>
  <w:style w:type="table" w:customStyle="1" w:styleId="CustomTablerecommendationsbox">
    <w:name w:val="Custom Table (recommendations box)"/>
    <w:basedOn w:val="TableNormal"/>
    <w:uiPriority w:val="99"/>
    <w:rsid w:val="003B63B4"/>
    <w:pPr>
      <w:spacing w:after="0" w:line="240" w:lineRule="auto"/>
    </w:pPr>
    <w:tblPr/>
    <w:tcPr>
      <w:shd w:val="clear" w:color="auto" w:fill="BDD6EE"/>
    </w:tcPr>
  </w:style>
  <w:style w:type="table" w:customStyle="1" w:styleId="CustomTablebreakoutbox">
    <w:name w:val="Custom Table (breakout box)"/>
    <w:basedOn w:val="TableNormal"/>
    <w:uiPriority w:val="99"/>
    <w:rsid w:val="003E33DC"/>
    <w:pPr>
      <w:spacing w:after="0" w:line="240" w:lineRule="auto"/>
    </w:pPr>
    <w:tblPr/>
    <w:tcPr>
      <w:shd w:val="clear" w:color="auto" w:fill="C5E0B3"/>
    </w:tcPr>
  </w:style>
  <w:style w:type="paragraph" w:styleId="EndnoteText">
    <w:name w:val="endnote text"/>
    <w:basedOn w:val="Normal"/>
    <w:link w:val="EndnoteTextChar"/>
    <w:uiPriority w:val="99"/>
    <w:semiHidden/>
    <w:rsid w:val="000F6C59"/>
    <w:pPr>
      <w:spacing w:before="0" w:after="0"/>
    </w:pPr>
    <w:rPr>
      <w:sz w:val="20"/>
    </w:rPr>
  </w:style>
  <w:style w:type="character" w:customStyle="1" w:styleId="EndnoteTextChar">
    <w:name w:val="Endnote Text Char"/>
    <w:basedOn w:val="DefaultParagraphFont"/>
    <w:link w:val="EndnoteText"/>
    <w:uiPriority w:val="99"/>
    <w:semiHidden/>
    <w:rsid w:val="000F6C59"/>
    <w:rPr>
      <w:rFonts w:ascii="Arial" w:hAnsi="Arial"/>
      <w:lang w:val="en-AU"/>
    </w:rPr>
  </w:style>
  <w:style w:type="character" w:styleId="EndnoteReference">
    <w:name w:val="endnote reference"/>
    <w:basedOn w:val="DefaultParagraphFont"/>
    <w:uiPriority w:val="99"/>
    <w:semiHidden/>
    <w:rsid w:val="000F6C59"/>
    <w:rPr>
      <w:vertAlign w:val="superscript"/>
    </w:rPr>
  </w:style>
  <w:style w:type="paragraph" w:customStyle="1" w:styleId="RecommendationsHeading">
    <w:name w:val="Recommendations Heading"/>
    <w:basedOn w:val="BodyText"/>
    <w:next w:val="BodyText"/>
    <w:uiPriority w:val="16"/>
    <w:qFormat/>
    <w:rsid w:val="00736816"/>
    <w:pPr>
      <w:numPr>
        <w:numId w:val="27"/>
      </w:numPr>
    </w:pPr>
    <w:rPr>
      <w:b/>
      <w:sz w:val="36"/>
    </w:rPr>
  </w:style>
  <w:style w:type="paragraph" w:customStyle="1" w:styleId="RecommendationList">
    <w:name w:val="Recommendation List"/>
    <w:basedOn w:val="Normal"/>
    <w:next w:val="BodyText"/>
    <w:uiPriority w:val="17"/>
    <w:qFormat/>
    <w:rsid w:val="003C1C24"/>
    <w:pPr>
      <w:numPr>
        <w:ilvl w:val="1"/>
        <w:numId w:val="27"/>
      </w:numPr>
    </w:pPr>
    <w:rPr>
      <w:sz w:val="28"/>
    </w:rPr>
  </w:style>
  <w:style w:type="numbering" w:customStyle="1" w:styleId="RecommendationListmaster">
    <w:name w:val="Recommendation List (master)"/>
    <w:uiPriority w:val="99"/>
    <w:rsid w:val="003C1C24"/>
    <w:pPr>
      <w:numPr>
        <w:numId w:val="16"/>
      </w:numPr>
    </w:pPr>
  </w:style>
  <w:style w:type="table" w:customStyle="1" w:styleId="CustomTableblue">
    <w:name w:val="Custom Table (blue)"/>
    <w:basedOn w:val="TableNormal"/>
    <w:uiPriority w:val="99"/>
    <w:rsid w:val="00EF28CE"/>
    <w:pPr>
      <w:spacing w:after="0" w:line="240" w:lineRule="auto"/>
    </w:pPr>
    <w:rPr>
      <w:sz w:val="21"/>
    </w:rPr>
    <w:tblPr>
      <w:tblStyleRow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FFFFF" w:themeFill="background1"/>
    </w:tcPr>
    <w:tblStylePr w:type="firstRow">
      <w:rPr>
        <w:b/>
        <w:color w:val="FFFFFF" w:themeColor="background1"/>
        <w:sz w:val="21"/>
      </w:rPr>
      <w:tblPr/>
      <w:tcPr>
        <w:shd w:val="clear" w:color="auto" w:fill="0070C0"/>
      </w:tcPr>
    </w:tblStylePr>
    <w:tblStylePr w:type="firstCol">
      <w:rPr>
        <w:b/>
        <w:color w:val="FFFFFF" w:themeColor="background1"/>
      </w:rPr>
      <w:tblPr/>
      <w:tcPr>
        <w:shd w:val="clear" w:color="auto" w:fill="0070C0"/>
      </w:tcPr>
    </w:tblStylePr>
    <w:tblStylePr w:type="band1Horz">
      <w:tblPr/>
      <w:tcPr>
        <w:shd w:val="clear" w:color="auto" w:fill="B4C6E7"/>
      </w:tcPr>
    </w:tblStylePr>
    <w:tblStylePr w:type="band2Horz">
      <w:tblPr/>
      <w:tcPr>
        <w:shd w:val="clear" w:color="auto" w:fill="D9E2F3"/>
      </w:tcPr>
    </w:tblStylePr>
  </w:style>
  <w:style w:type="paragraph" w:customStyle="1" w:styleId="TableBodyTextcentred">
    <w:name w:val="Table Body Text (centred)"/>
    <w:basedOn w:val="TableBodyText"/>
    <w:uiPriority w:val="15"/>
    <w:qFormat/>
    <w:rsid w:val="00196F9B"/>
    <w:pPr>
      <w:jc w:val="center"/>
    </w:pPr>
  </w:style>
  <w:style w:type="character" w:customStyle="1" w:styleId="Characterclear">
    <w:name w:val="Character (clear)"/>
    <w:uiPriority w:val="1"/>
    <w:qFormat/>
    <w:rsid w:val="003950BC"/>
    <w:rPr>
      <w:rFonts w:ascii="Arial" w:hAnsi="Arial"/>
      <w:sz w:val="24"/>
      <w:lang w:eastAsia="en-AU"/>
    </w:rPr>
  </w:style>
  <w:style w:type="paragraph" w:customStyle="1" w:styleId="VEOHRCBodytext">
    <w:name w:val="VEOHRC Body text"/>
    <w:link w:val="VEOHRCBodytextChar"/>
    <w:qFormat/>
    <w:rsid w:val="00BE709A"/>
    <w:pPr>
      <w:keepNext/>
      <w:spacing w:before="80" w:after="120" w:line="240" w:lineRule="auto"/>
    </w:pPr>
    <w:rPr>
      <w:rFonts w:ascii="Arial" w:eastAsia="Arial Unicode MS" w:hAnsi="Arial" w:cs="Times New Roman"/>
      <w:sz w:val="24"/>
      <w:szCs w:val="24"/>
      <w:lang w:val="en-GB" w:eastAsia="en-AU"/>
    </w:rPr>
  </w:style>
  <w:style w:type="character" w:customStyle="1" w:styleId="VEOHRCBodytextChar">
    <w:name w:val="VEOHRC Body text Char"/>
    <w:link w:val="VEOHRCBodytext"/>
    <w:rsid w:val="00BE709A"/>
    <w:rPr>
      <w:rFonts w:ascii="Arial" w:eastAsia="Arial Unicode MS" w:hAnsi="Arial" w:cs="Times New Roman"/>
      <w:sz w:val="24"/>
      <w:szCs w:val="24"/>
      <w:lang w:val="en-GB" w:eastAsia="en-AU"/>
    </w:rPr>
  </w:style>
  <w:style w:type="paragraph" w:customStyle="1" w:styleId="FootnotesrefssChar">
    <w:name w:val="Footnotes refss Char"/>
    <w:aliases w:val="4_G Char Char Char1 Char Char Char Char Char,Footnote Reference1 Char Char Char1 Char Char Char Char Char,Footnotes refss Char Char Char1 Char Char Char Char Char,ftref Char Char Char1 Char Char Char Char Char"/>
    <w:basedOn w:val="Normal"/>
    <w:link w:val="FootnoteReference"/>
    <w:rsid w:val="00BE709A"/>
    <w:pPr>
      <w:spacing w:before="0" w:after="160" w:line="240" w:lineRule="exact"/>
      <w:jc w:val="both"/>
    </w:pPr>
    <w:rPr>
      <w:rFonts w:asciiTheme="minorHAnsi" w:hAnsiTheme="minorHAnsi"/>
      <w:sz w:val="20"/>
      <w:vertAlign w:val="superscript"/>
      <w:lang w:val="en-US"/>
    </w:rPr>
  </w:style>
  <w:style w:type="character" w:styleId="CommentReference">
    <w:name w:val="annotation reference"/>
    <w:uiPriority w:val="99"/>
    <w:semiHidden/>
    <w:unhideWhenUsed/>
    <w:rsid w:val="009F3FAF"/>
    <w:rPr>
      <w:sz w:val="16"/>
      <w:szCs w:val="16"/>
    </w:rPr>
  </w:style>
  <w:style w:type="paragraph" w:styleId="CommentText">
    <w:name w:val="annotation text"/>
    <w:link w:val="CommentTextChar"/>
    <w:uiPriority w:val="99"/>
    <w:unhideWhenUsed/>
    <w:rsid w:val="009F3FAF"/>
    <w:pPr>
      <w:spacing w:after="0" w:line="240" w:lineRule="auto"/>
    </w:pPr>
    <w:rPr>
      <w:rFonts w:ascii="Arial" w:eastAsia="Calibri" w:hAnsi="Arial" w:cs="Arial"/>
      <w:lang w:val="en-AU" w:eastAsia="en-AU"/>
    </w:rPr>
  </w:style>
  <w:style w:type="character" w:customStyle="1" w:styleId="CommentTextChar">
    <w:name w:val="Comment Text Char"/>
    <w:basedOn w:val="DefaultParagraphFont"/>
    <w:link w:val="CommentText"/>
    <w:uiPriority w:val="99"/>
    <w:rsid w:val="009F3FAF"/>
    <w:rPr>
      <w:rFonts w:ascii="Arial" w:eastAsia="Calibri" w:hAnsi="Arial" w:cs="Arial"/>
      <w:lang w:val="en-AU" w:eastAsia="en-AU"/>
    </w:rPr>
  </w:style>
  <w:style w:type="table" w:styleId="GridTable3-Accent3">
    <w:name w:val="Grid Table 3 Accent 3"/>
    <w:uiPriority w:val="48"/>
    <w:locked/>
    <w:rsid w:val="00475C71"/>
    <w:pPr>
      <w:spacing w:after="0" w:line="240" w:lineRule="auto"/>
    </w:pPr>
    <w:rPr>
      <w:rFonts w:ascii="Arial" w:eastAsia="Calibri" w:hAnsi="Arial" w:cs="Times New Roman"/>
      <w:sz w:val="22"/>
      <w:szCs w:val="22"/>
      <w:lang w:val="en-AU" w:eastAsia="en-AU"/>
    </w:rPr>
    <w:tblPr>
      <w:tblStyleRowBandSize w:val="1"/>
      <w:tblStyleColBandSize w:val="1"/>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CellMar>
        <w:top w:w="0" w:type="dxa"/>
        <w:left w:w="0" w:type="dxa"/>
        <w:bottom w:w="0" w:type="dxa"/>
        <w:right w:w="0" w:type="dxa"/>
      </w:tblCellMar>
    </w:tblPr>
  </w:style>
  <w:style w:type="paragraph" w:styleId="CommentSubject">
    <w:name w:val="annotation subject"/>
    <w:basedOn w:val="CommentText"/>
    <w:next w:val="CommentText"/>
    <w:link w:val="CommentSubjectChar"/>
    <w:uiPriority w:val="99"/>
    <w:semiHidden/>
    <w:rsid w:val="005C738B"/>
    <w:pPr>
      <w:spacing w:before="80" w:after="120"/>
    </w:pPr>
    <w:rPr>
      <w:rFonts w:eastAsiaTheme="minorHAnsi" w:cstheme="minorBidi"/>
      <w:b/>
      <w:bCs/>
      <w:lang w:eastAsia="en-US"/>
    </w:rPr>
  </w:style>
  <w:style w:type="character" w:customStyle="1" w:styleId="CommentSubjectChar">
    <w:name w:val="Comment Subject Char"/>
    <w:basedOn w:val="CommentTextChar"/>
    <w:link w:val="CommentSubject"/>
    <w:uiPriority w:val="99"/>
    <w:semiHidden/>
    <w:rsid w:val="005C738B"/>
    <w:rPr>
      <w:rFonts w:ascii="Arial" w:eastAsia="Calibri" w:hAnsi="Arial" w:cs="Arial"/>
      <w:b/>
      <w:bCs/>
      <w:lang w:val="en-AU" w:eastAsia="en-AU"/>
    </w:rPr>
  </w:style>
  <w:style w:type="character" w:styleId="FollowedHyperlink">
    <w:name w:val="FollowedHyperlink"/>
    <w:basedOn w:val="DefaultParagraphFont"/>
    <w:uiPriority w:val="99"/>
    <w:semiHidden/>
    <w:rsid w:val="00365EF0"/>
    <w:rPr>
      <w:color w:val="800080" w:themeColor="followedHyperlink"/>
      <w:u w:val="single"/>
    </w:rPr>
  </w:style>
  <w:style w:type="numbering" w:customStyle="1" w:styleId="TableListNumbermaster1">
    <w:name w:val="Table List Number (master)1"/>
    <w:rsid w:val="009E5D7D"/>
  </w:style>
  <w:style w:type="table" w:customStyle="1" w:styleId="CustomTableblue1">
    <w:name w:val="Custom Table (blue)1"/>
    <w:basedOn w:val="TableNormal"/>
    <w:uiPriority w:val="99"/>
    <w:rsid w:val="009E5D7D"/>
    <w:pPr>
      <w:spacing w:after="0" w:line="240" w:lineRule="auto"/>
    </w:pPr>
    <w:rPr>
      <w:sz w:val="21"/>
    </w:rPr>
    <w:tblPr>
      <w:tblStyleRow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FFFFF" w:themeFill="background1"/>
    </w:tcPr>
    <w:tblStylePr w:type="firstRow">
      <w:rPr>
        <w:b/>
        <w:color w:val="FFFFFF" w:themeColor="background1"/>
        <w:sz w:val="21"/>
      </w:rPr>
      <w:tblPr/>
      <w:tcPr>
        <w:shd w:val="clear" w:color="auto" w:fill="0070C0"/>
      </w:tcPr>
    </w:tblStylePr>
    <w:tblStylePr w:type="firstCol">
      <w:rPr>
        <w:b/>
        <w:color w:val="FFFFFF" w:themeColor="background1"/>
      </w:rPr>
      <w:tblPr/>
      <w:tcPr>
        <w:shd w:val="clear" w:color="auto" w:fill="0070C0"/>
      </w:tcPr>
    </w:tblStylePr>
    <w:tblStylePr w:type="band1Horz">
      <w:tblPr/>
      <w:tcPr>
        <w:shd w:val="clear" w:color="auto" w:fill="B4C6E7"/>
      </w:tcPr>
    </w:tblStylePr>
    <w:tblStylePr w:type="band2Horz">
      <w:tblPr/>
      <w:tcPr>
        <w:shd w:val="clear" w:color="auto" w:fill="D9E2F3"/>
      </w:tcPr>
    </w:tblStylePr>
  </w:style>
  <w:style w:type="paragraph" w:styleId="Revision">
    <w:name w:val="Revision"/>
    <w:hidden/>
    <w:uiPriority w:val="99"/>
    <w:semiHidden/>
    <w:rsid w:val="00BD18DD"/>
    <w:pPr>
      <w:spacing w:after="0" w:line="240" w:lineRule="auto"/>
    </w:pPr>
    <w:rPr>
      <w:rFonts w:ascii="Arial" w:hAnsi="Arial"/>
      <w:sz w:val="24"/>
      <w:lang w:val="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57418889">
      <w:bodyDiv w:val="1"/>
      <w:marLeft w:val="0"/>
      <w:marRight w:val="0"/>
      <w:marTop w:val="0"/>
      <w:marBottom w:val="0"/>
      <w:divBdr>
        <w:top w:val="none" w:sz="0" w:space="0" w:color="auto"/>
        <w:left w:val="none" w:sz="0" w:space="0" w:color="auto"/>
        <w:bottom w:val="none" w:sz="0" w:space="0" w:color="auto"/>
        <w:right w:val="none" w:sz="0" w:space="0" w:color="auto"/>
      </w:divBdr>
    </w:div>
    <w:div w:id="1015349759">
      <w:bodyDiv w:val="1"/>
      <w:marLeft w:val="0"/>
      <w:marRight w:val="0"/>
      <w:marTop w:val="0"/>
      <w:marBottom w:val="0"/>
      <w:divBdr>
        <w:top w:val="none" w:sz="0" w:space="0" w:color="auto"/>
        <w:left w:val="none" w:sz="0" w:space="0" w:color="auto"/>
        <w:bottom w:val="none" w:sz="0" w:space="0" w:color="auto"/>
        <w:right w:val="none" w:sz="0" w:space="0" w:color="auto"/>
      </w:divBdr>
    </w:div>
    <w:div w:id="14429205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3.xml"/><Relationship Id="rId18" Type="http://schemas.openxmlformats.org/officeDocument/2006/relationships/footer" Target="foot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hyperlink" Target="http://www.facebook.com/VEOHRC" TargetMode="External"/><Relationship Id="rId2" Type="http://schemas.openxmlformats.org/officeDocument/2006/relationships/numbering" Target="numbering.xml"/><Relationship Id="rId16" Type="http://schemas.openxmlformats.org/officeDocument/2006/relationships/hyperlink" Target="file:///\\vmware-host\Shared%20Folders\Projects%20(Clients)\VEOHRC\1338.%20MS%20Word%20Report%20Template\Modified%20Documents\humanrightscommission.vic.gov.au"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mailto:enquiries@veohrc.vic.gov.au" TargetMode="External"/><Relationship Id="rId10" Type="http://schemas.openxmlformats.org/officeDocument/2006/relationships/header" Target="header1.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image" Target="media/image2.jpeg"/></Relationships>
</file>

<file path=word/_rels/footnotes.xml.rels><?xml version="1.0" encoding="UTF-8" standalone="yes"?>
<Relationships xmlns="http://schemas.openxmlformats.org/package/2006/relationships"><Relationship Id="rId8" Type="http://schemas.openxmlformats.org/officeDocument/2006/relationships/hyperlink" Target="http://www.woor-dungin.com.au/criminal-record-discrimination/" TargetMode="External"/><Relationship Id="rId13" Type="http://schemas.openxmlformats.org/officeDocument/2006/relationships/hyperlink" Target="http://www.woor-dungin.com.au/criminal-record-discrimination/" TargetMode="External"/><Relationship Id="rId3" Type="http://schemas.openxmlformats.org/officeDocument/2006/relationships/hyperlink" Target="https://www.humanrights.gov.au/our-work/commission-general/publications/annual-report-2017-2018" TargetMode="External"/><Relationship Id="rId7" Type="http://schemas.openxmlformats.org/officeDocument/2006/relationships/hyperlink" Target="https://offtherecordcampaign.wordpress.com/" TargetMode="External"/><Relationship Id="rId12" Type="http://schemas.openxmlformats.org/officeDocument/2006/relationships/hyperlink" Target="https://www.parliament.vic.gov.au/images/stories/committees/SCLSI/Spent_Convictions/submissions/S8_-_Law_Institute_of_Victoria_Redacted.pdf" TargetMode="External"/><Relationship Id="rId2" Type="http://schemas.openxmlformats.org/officeDocument/2006/relationships/hyperlink" Target="https://www.parliament.vic.gov.au/images/S5_-_Woor-Dungin_Redacted.pdf" TargetMode="External"/><Relationship Id="rId1" Type="http://schemas.openxmlformats.org/officeDocument/2006/relationships/hyperlink" Target="https://www.parliament.vic.gov.au/lsic-lc/article/4215" TargetMode="External"/><Relationship Id="rId6" Type="http://schemas.openxmlformats.org/officeDocument/2006/relationships/hyperlink" Target="http://jobwatch.org.au/wp-content/uploads/2018/04/Criminal-records-Final-Copy.pdf" TargetMode="External"/><Relationship Id="rId11" Type="http://schemas.openxmlformats.org/officeDocument/2006/relationships/hyperlink" Target="https://www.aboriginaljustice.vic.gov.au/sites/default/files/embridge_cache/emshare/original/public/2018/09/9d/784c6e742/Victorian%20Aboriginal%20Justice%20Agreement%20Phase%204.pdf" TargetMode="External"/><Relationship Id="rId5" Type="http://schemas.openxmlformats.org/officeDocument/2006/relationships/hyperlink" Target="https://www.parliament.vic.gov.au/images/S5_-_Woor-Dungin_Redacted.pdf" TargetMode="External"/><Relationship Id="rId10" Type="http://schemas.openxmlformats.org/officeDocument/2006/relationships/hyperlink" Target="http://www.woor-dungin.com.au/criminal-record-discrimination/" TargetMode="External"/><Relationship Id="rId4" Type="http://schemas.openxmlformats.org/officeDocument/2006/relationships/hyperlink" Target="https://www.humanrights.gov.au/sites/default/files/content/human_rights/criminalrecord/on_the_record/download/otr_guidelines.pdf" TargetMode="External"/><Relationship Id="rId9" Type="http://schemas.openxmlformats.org/officeDocument/2006/relationships/hyperlink" Target="https://www.humanrights.gov.au/about/news/criminal-record-discrimination" TargetMode="External"/><Relationship Id="rId14" Type="http://schemas.openxmlformats.org/officeDocument/2006/relationships/hyperlink" Target="https://www.parliament.vic.gov.au/images/S5_-_Woor-Dungin_Redacted.pdf"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internal.vic.gov.au\djr\Groupdata\OfficeTemplates\VEOHRC\VEOHRC\Report%202019.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F439081-2ABE-467A-A5BD-B2335BE03A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Report 2019.dotx</Template>
  <TotalTime>1</TotalTime>
  <Pages>16</Pages>
  <Words>4888</Words>
  <Characters>27865</Characters>
  <Application>Microsoft Office Word</Application>
  <DocSecurity>0</DocSecurity>
  <Lines>232</Lines>
  <Paragraphs>65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32688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Prue Elletson (DJCS)</dc:creator>
  <dc:description>Template by Red Pony_x000d_
www.redpony.com.au</dc:description>
  <cp:lastModifiedBy>Ian D Row (DJCS)</cp:lastModifiedBy>
  <cp:revision>2</cp:revision>
  <cp:lastPrinted>2019-07-16T06:36:00Z</cp:lastPrinted>
  <dcterms:created xsi:type="dcterms:W3CDTF">2019-07-22T01:26:00Z</dcterms:created>
  <dcterms:modified xsi:type="dcterms:W3CDTF">2019-07-22T01:26:00Z</dcterms:modified>
</cp:coreProperties>
</file>