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51EC" w14:textId="523DC9E6" w:rsidR="006654AD" w:rsidRDefault="001E1039" w:rsidP="008701C7">
      <w:pPr>
        <w:pStyle w:val="Title"/>
      </w:pPr>
      <w:r w:rsidRPr="001E1039">
        <w:t>Rebuilding flexible workplaces</w:t>
      </w:r>
    </w:p>
    <w:p w14:paraId="0777AB36" w14:textId="4F0B889A" w:rsidR="006654AD" w:rsidRDefault="00581F01" w:rsidP="00581F01">
      <w:pPr>
        <w:pStyle w:val="Coversubtitle"/>
      </w:pPr>
      <w:r>
        <w:t>L</w:t>
      </w:r>
      <w:r w:rsidRPr="00581F01">
        <w:t>essons for the post-COVID workplace</w:t>
      </w:r>
    </w:p>
    <w:p w14:paraId="14EFEAC5" w14:textId="77777777" w:rsidR="00DD1EC6" w:rsidRDefault="00DD1EC6" w:rsidP="0001447E">
      <w:pPr>
        <w:pStyle w:val="Bodytextnormal"/>
        <w:sectPr w:rsidR="00DD1EC6" w:rsidSect="005F515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4368332B" w14:textId="629B3F5B" w:rsidR="00612814" w:rsidRPr="00612814" w:rsidRDefault="00612814" w:rsidP="00612814">
      <w:pPr>
        <w:pStyle w:val="Introduction"/>
      </w:pPr>
      <w:r w:rsidRPr="00612814">
        <w:lastRenderedPageBreak/>
        <w:t>The move to remote working and the unprecedented need for flexible</w:t>
      </w:r>
      <w:r>
        <w:t xml:space="preserve"> </w:t>
      </w:r>
      <w:r w:rsidRPr="00612814">
        <w:t>work arrangements during COVID-19 has fundamentally changed the way our workplaces operate, creating opportunities to adopt and embed these arrangements as business-as- usual into the future.</w:t>
      </w:r>
    </w:p>
    <w:p w14:paraId="37C7D2E0" w14:textId="6571D208" w:rsidR="00612814" w:rsidRPr="00612814" w:rsidRDefault="00612814" w:rsidP="00612814">
      <w:pPr>
        <w:pStyle w:val="Introduction"/>
      </w:pPr>
      <w:r w:rsidRPr="00612814">
        <w:t>At the peak of the pandemic, the Commission surveyed and interviewed Victorian workers</w:t>
      </w:r>
      <w:r>
        <w:t xml:space="preserve"> </w:t>
      </w:r>
      <w:r w:rsidRPr="00612814">
        <w:t>aged 18+ years, who are parents, carers and/or have a disability, to better understand how COVID-19 transformed approaches to flexible work.</w:t>
      </w:r>
    </w:p>
    <w:p w14:paraId="39CDEA9F" w14:textId="07F19B84" w:rsidR="00581F01" w:rsidRPr="00581F01" w:rsidRDefault="00612814" w:rsidP="00612814">
      <w:pPr>
        <w:pStyle w:val="Introduction"/>
      </w:pPr>
      <w:r w:rsidRPr="00612814">
        <w:t>This is what we learned.</w:t>
      </w:r>
    </w:p>
    <w:tbl>
      <w:tblPr>
        <w:tblStyle w:val="VEOHRCsimplegrey"/>
        <w:tblW w:w="0" w:type="auto"/>
        <w:tblLook w:val="0000" w:firstRow="0" w:lastRow="0" w:firstColumn="0" w:lastColumn="0" w:noHBand="0" w:noVBand="0"/>
      </w:tblPr>
      <w:tblGrid>
        <w:gridCol w:w="9060"/>
      </w:tblGrid>
      <w:tr w:rsidR="00581F01" w14:paraId="03370DB7" w14:textId="77777777" w:rsidTr="003B5B23">
        <w:tc>
          <w:tcPr>
            <w:tcW w:w="9060" w:type="dxa"/>
            <w:tcMar>
              <w:top w:w="227" w:type="dxa"/>
              <w:left w:w="227" w:type="dxa"/>
              <w:bottom w:w="227" w:type="dxa"/>
              <w:right w:w="227" w:type="dxa"/>
            </w:tcMar>
          </w:tcPr>
          <w:p w14:paraId="4AE1EDD4" w14:textId="77777777" w:rsidR="00581F01" w:rsidRPr="00062113" w:rsidRDefault="00581F01" w:rsidP="00062113">
            <w:pPr>
              <w:pStyle w:val="Tableboldtext"/>
            </w:pPr>
            <w:r w:rsidRPr="00062113">
              <w:t>Our methodology</w:t>
            </w:r>
          </w:p>
          <w:p w14:paraId="2481F4E0" w14:textId="77777777" w:rsidR="00681B36" w:rsidRPr="00681B36" w:rsidRDefault="00681B36" w:rsidP="00681B36">
            <w:pPr>
              <w:pStyle w:val="Tabletext"/>
            </w:pPr>
            <w:r w:rsidRPr="00681B36">
              <w:t>The Commission surveyed 1504 Victorian workers aged 18+ years, who are parents, carers and/or have a disability.</w:t>
            </w:r>
          </w:p>
          <w:p w14:paraId="289BFDC2" w14:textId="77777777" w:rsidR="00681B36" w:rsidRPr="00681B36" w:rsidRDefault="00681B36" w:rsidP="00681B36">
            <w:pPr>
              <w:pStyle w:val="Tabletext"/>
            </w:pPr>
            <w:r w:rsidRPr="00681B36">
              <w:t>We supplemented our online survey with 12 qualitative interviews. The survey and interviews were conducted between 27 June 2020 and 3 July 2020. We ensured robust sample sizes</w:t>
            </w:r>
          </w:p>
          <w:p w14:paraId="0362C0CA" w14:textId="77777777" w:rsidR="00681B36" w:rsidRPr="00681B36" w:rsidRDefault="00681B36" w:rsidP="00681B36">
            <w:pPr>
              <w:pStyle w:val="Tabletext"/>
            </w:pPr>
            <w:r w:rsidRPr="00681B36">
              <w:t xml:space="preserve">by setting quotas by location, gender, </w:t>
            </w:r>
            <w:proofErr w:type="gramStart"/>
            <w:r w:rsidRPr="00681B36">
              <w:t>age</w:t>
            </w:r>
            <w:proofErr w:type="gramEnd"/>
            <w:r w:rsidRPr="00681B36">
              <w:t xml:space="preserve"> and parental/carer/disability status.</w:t>
            </w:r>
          </w:p>
          <w:p w14:paraId="0FA3350E" w14:textId="7E8AB988" w:rsidR="00581F01" w:rsidRPr="00062113" w:rsidRDefault="00681B36" w:rsidP="00681B36">
            <w:pPr>
              <w:pStyle w:val="Tabletext"/>
            </w:pPr>
            <w:r w:rsidRPr="00681B36">
              <w:t>The Commission acknowledges and thanks the Victorian Public Sector Commission for its support in analysing our survey results.</w:t>
            </w:r>
          </w:p>
        </w:tc>
      </w:tr>
    </w:tbl>
    <w:p w14:paraId="66B4B0F9" w14:textId="77777777" w:rsidR="003B5B23" w:rsidRPr="003B5B23" w:rsidRDefault="003B5B23" w:rsidP="003B5B23">
      <w:pPr>
        <w:pStyle w:val="Heading2nonumber"/>
      </w:pPr>
      <w:r w:rsidRPr="003B5B23">
        <w:t>Women and men want flexible work arrangements</w:t>
      </w:r>
    </w:p>
    <w:p w14:paraId="3CF62F6D" w14:textId="77777777" w:rsidR="003B5B23" w:rsidRPr="003B5B23" w:rsidRDefault="003B5B23" w:rsidP="00D16538">
      <w:pPr>
        <w:pStyle w:val="Bodytextnormal"/>
      </w:pPr>
      <w:r w:rsidRPr="003B5B23">
        <w:t>Women and men expressed a strong desire to work flexibly. All employers need to consider how they can embed flexible work practices during recovery.</w:t>
      </w:r>
    </w:p>
    <w:p w14:paraId="575C798E" w14:textId="7828232C" w:rsidR="003B5B23" w:rsidRPr="003B5B23" w:rsidRDefault="003B5B23" w:rsidP="003B5B23">
      <w:pPr>
        <w:pStyle w:val="Bulletpoint1"/>
      </w:pPr>
      <w:r w:rsidRPr="003B5B23">
        <w:t>Three quarters</w:t>
      </w:r>
      <w:r>
        <w:t xml:space="preserve"> </w:t>
      </w:r>
      <w:r w:rsidRPr="003B5B23">
        <w:t>of workers surveyed worked flexibly during the pandemic</w:t>
      </w:r>
    </w:p>
    <w:p w14:paraId="17FDA2A1" w14:textId="19418B48" w:rsidR="003B5B23" w:rsidRPr="003B5B23" w:rsidRDefault="003B5B23" w:rsidP="003B5B23">
      <w:pPr>
        <w:pStyle w:val="Bulletpoint1"/>
      </w:pPr>
      <w:r w:rsidRPr="003B5B23">
        <w:t>85% of workers surveyed want to access flexible work arrangements in the future</w:t>
      </w:r>
    </w:p>
    <w:p w14:paraId="45592FC7" w14:textId="2E5545D5" w:rsidR="003B5B23" w:rsidRPr="003B5B23" w:rsidRDefault="003B5B23" w:rsidP="003B5B23">
      <w:pPr>
        <w:pStyle w:val="Bulletpoint1"/>
      </w:pPr>
      <w:r w:rsidRPr="003B5B23">
        <w:t>4 in 10 workers said the pandemic</w:t>
      </w:r>
      <w:r>
        <w:t xml:space="preserve"> </w:t>
      </w:r>
      <w:r w:rsidRPr="003B5B23">
        <w:t>has made them more confident to ask for flexible working arrangements</w:t>
      </w:r>
    </w:p>
    <w:p w14:paraId="6AC360C6" w14:textId="77777777" w:rsidR="005604E8" w:rsidRDefault="005604E8">
      <w:pPr>
        <w:spacing w:before="0" w:after="160" w:line="259" w:lineRule="auto"/>
        <w:rPr>
          <w:b/>
          <w:color w:val="071C53" w:themeColor="text2"/>
          <w:sz w:val="44"/>
          <w:szCs w:val="22"/>
        </w:rPr>
      </w:pPr>
      <w:r>
        <w:br w:type="page"/>
      </w:r>
    </w:p>
    <w:p w14:paraId="70B3CD55" w14:textId="49A219C4" w:rsidR="003B5B23" w:rsidRPr="003B5B23" w:rsidRDefault="003B5B23" w:rsidP="003B5B23">
      <w:pPr>
        <w:pStyle w:val="Heading2nonumber"/>
      </w:pPr>
      <w:r w:rsidRPr="003B5B23">
        <w:lastRenderedPageBreak/>
        <w:t>Workers see flexibility as key to maintaining balance</w:t>
      </w:r>
    </w:p>
    <w:p w14:paraId="21370491" w14:textId="2235ED23" w:rsidR="00E84C46" w:rsidRDefault="003B5B23" w:rsidP="00D16538">
      <w:pPr>
        <w:pStyle w:val="Bodytextnormal"/>
      </w:pPr>
      <w:r w:rsidRPr="003B5B23">
        <w:t>Workers see flexibility as an important part of balancing personal and working responsibilities throughout their working life. Access to flexible work is about more than just accommodating childcare responsibilities.</w:t>
      </w:r>
    </w:p>
    <w:p w14:paraId="09D71755" w14:textId="6A441729" w:rsidR="00BD4F47" w:rsidRDefault="00892470" w:rsidP="00892470">
      <w:pPr>
        <w:pStyle w:val="Heading4"/>
      </w:pPr>
      <w:r w:rsidRPr="00892470">
        <w:t>Workers reported a range of reasons for accessing flexible work arrangements during the pandemic:</w:t>
      </w:r>
    </w:p>
    <w:tbl>
      <w:tblPr>
        <w:tblStyle w:val="VEOHRCsimplegrey"/>
        <w:tblW w:w="0" w:type="auto"/>
        <w:tblLook w:val="04A0" w:firstRow="1" w:lastRow="0" w:firstColumn="1" w:lastColumn="0" w:noHBand="0" w:noVBand="1"/>
      </w:tblPr>
      <w:tblGrid>
        <w:gridCol w:w="4106"/>
        <w:gridCol w:w="2552"/>
      </w:tblGrid>
      <w:tr w:rsidR="00F5440F" w14:paraId="33ED0A1D" w14:textId="77777777" w:rsidTr="00C6499B">
        <w:tc>
          <w:tcPr>
            <w:tcW w:w="4106" w:type="dxa"/>
            <w:shd w:val="clear" w:color="auto" w:fill="071C53" w:themeFill="text2"/>
          </w:tcPr>
          <w:p w14:paraId="05249DCA" w14:textId="249116C5" w:rsidR="00F5440F" w:rsidRPr="003E29D7" w:rsidRDefault="00C6499B" w:rsidP="00C732F8">
            <w:pPr>
              <w:pStyle w:val="Tableheadertext"/>
            </w:pPr>
            <w:r>
              <w:t>Reason</w:t>
            </w:r>
          </w:p>
        </w:tc>
        <w:tc>
          <w:tcPr>
            <w:tcW w:w="2552" w:type="dxa"/>
            <w:shd w:val="clear" w:color="auto" w:fill="071C53" w:themeFill="text2"/>
          </w:tcPr>
          <w:p w14:paraId="68C5F20C" w14:textId="512398E2" w:rsidR="00F5440F" w:rsidRDefault="00F5440F" w:rsidP="00C732F8">
            <w:pPr>
              <w:pStyle w:val="Tableheaderfigures"/>
            </w:pPr>
            <w:r>
              <w:t>Responses (%)</w:t>
            </w:r>
          </w:p>
        </w:tc>
      </w:tr>
      <w:tr w:rsidR="00F5440F" w14:paraId="190E2872" w14:textId="77777777" w:rsidTr="00C6499B">
        <w:tc>
          <w:tcPr>
            <w:tcW w:w="4106" w:type="dxa"/>
          </w:tcPr>
          <w:p w14:paraId="27A9D473" w14:textId="6736F72C" w:rsidR="00F5440F" w:rsidRPr="003E29D7" w:rsidRDefault="00DC7376" w:rsidP="00C732F8">
            <w:pPr>
              <w:pStyle w:val="Tabletext"/>
            </w:pPr>
            <w:r w:rsidRPr="00DC7376">
              <w:t>Supporting their work–life balance</w:t>
            </w:r>
          </w:p>
        </w:tc>
        <w:tc>
          <w:tcPr>
            <w:tcW w:w="2552" w:type="dxa"/>
          </w:tcPr>
          <w:p w14:paraId="3948186B" w14:textId="196CA56C" w:rsidR="00F5440F" w:rsidRDefault="00B16EBD" w:rsidP="00C732F8">
            <w:pPr>
              <w:pStyle w:val="Tablenumbers"/>
            </w:pPr>
            <w:r>
              <w:t>34</w:t>
            </w:r>
          </w:p>
        </w:tc>
      </w:tr>
      <w:tr w:rsidR="00F5440F" w14:paraId="4E1FD407" w14:textId="77777777" w:rsidTr="00C6499B">
        <w:tc>
          <w:tcPr>
            <w:tcW w:w="4106" w:type="dxa"/>
          </w:tcPr>
          <w:p w14:paraId="4F3254C9" w14:textId="2E278484" w:rsidR="00F5440F" w:rsidRPr="003E29D7" w:rsidRDefault="00BF5FA9" w:rsidP="00C732F8">
            <w:pPr>
              <w:pStyle w:val="Tabletext"/>
            </w:pPr>
            <w:r w:rsidRPr="00BF5FA9">
              <w:t>Managing increased parenting demands arising from changes due to COVID-19</w:t>
            </w:r>
          </w:p>
        </w:tc>
        <w:tc>
          <w:tcPr>
            <w:tcW w:w="2552" w:type="dxa"/>
          </w:tcPr>
          <w:p w14:paraId="58EB85C6" w14:textId="09B4AC3A" w:rsidR="00F5440F" w:rsidRDefault="00B16EBD" w:rsidP="00C732F8">
            <w:pPr>
              <w:pStyle w:val="Tablenumbers"/>
            </w:pPr>
            <w:r>
              <w:t>39</w:t>
            </w:r>
          </w:p>
        </w:tc>
      </w:tr>
      <w:tr w:rsidR="00F5440F" w14:paraId="6B28CB17" w14:textId="77777777" w:rsidTr="00C6499B">
        <w:tc>
          <w:tcPr>
            <w:tcW w:w="4106" w:type="dxa"/>
          </w:tcPr>
          <w:p w14:paraId="3615DF38" w14:textId="41EEAB69" w:rsidR="00F5440F" w:rsidRPr="003E29D7" w:rsidRDefault="002371CF" w:rsidP="00C732F8">
            <w:pPr>
              <w:pStyle w:val="Tabletext"/>
            </w:pPr>
            <w:r w:rsidRPr="002371CF">
              <w:t>Spending more time with family</w:t>
            </w:r>
          </w:p>
        </w:tc>
        <w:tc>
          <w:tcPr>
            <w:tcW w:w="2552" w:type="dxa"/>
          </w:tcPr>
          <w:p w14:paraId="0021368C" w14:textId="7484ED4E" w:rsidR="00F5440F" w:rsidRDefault="00B16EBD" w:rsidP="00C732F8">
            <w:pPr>
              <w:pStyle w:val="Tablenumbers"/>
            </w:pPr>
            <w:r>
              <w:t>26</w:t>
            </w:r>
          </w:p>
        </w:tc>
      </w:tr>
      <w:tr w:rsidR="00F5440F" w14:paraId="2B9D6740" w14:textId="77777777" w:rsidTr="00C6499B">
        <w:tc>
          <w:tcPr>
            <w:tcW w:w="4106" w:type="dxa"/>
          </w:tcPr>
          <w:p w14:paraId="170427E5" w14:textId="19034EBD" w:rsidR="00F5440F" w:rsidRPr="003E29D7" w:rsidRDefault="00B16EBD" w:rsidP="00C732F8">
            <w:pPr>
              <w:pStyle w:val="Tabletext"/>
            </w:pPr>
            <w:r w:rsidRPr="00B16EBD">
              <w:t>Caring for family members who are sick or elderly or have a disability</w:t>
            </w:r>
          </w:p>
        </w:tc>
        <w:tc>
          <w:tcPr>
            <w:tcW w:w="2552" w:type="dxa"/>
          </w:tcPr>
          <w:p w14:paraId="157B3D75" w14:textId="0D741D32" w:rsidR="00F5440F" w:rsidRDefault="00B16EBD" w:rsidP="00C732F8">
            <w:pPr>
              <w:pStyle w:val="Tablenumbers"/>
            </w:pPr>
            <w:r>
              <w:t>12</w:t>
            </w:r>
          </w:p>
        </w:tc>
      </w:tr>
    </w:tbl>
    <w:p w14:paraId="4795CC5F" w14:textId="4C9CC937" w:rsidR="00F9686E" w:rsidRPr="00F9686E" w:rsidRDefault="00F9686E" w:rsidP="00F9686E">
      <w:pPr>
        <w:pStyle w:val="Heading2nonumber"/>
      </w:pPr>
      <w:r w:rsidRPr="00F9686E">
        <w:t>Even small changes can support greater flexibility</w:t>
      </w:r>
    </w:p>
    <w:p w14:paraId="79EFD28B" w14:textId="527A18F3" w:rsidR="00F9686E" w:rsidRPr="00F9686E" w:rsidRDefault="00F9686E" w:rsidP="00D16538">
      <w:pPr>
        <w:pStyle w:val="Bodytextnormal"/>
      </w:pPr>
      <w:r w:rsidRPr="00F9686E">
        <w:t>Many of the flexible work arrangements that workers are seeking can be accommodated easily</w:t>
      </w:r>
      <w:r>
        <w:t xml:space="preserve"> </w:t>
      </w:r>
      <w:r w:rsidRPr="00F9686E">
        <w:t>by employers, including those employers who have traditionally thought flexibility is incompatible with certain types of work or ‘too hard’.</w:t>
      </w:r>
    </w:p>
    <w:p w14:paraId="335CB4A8" w14:textId="7E98C53A" w:rsidR="00F9686E" w:rsidRPr="00F9686E" w:rsidRDefault="00F9686E" w:rsidP="00F9686E">
      <w:pPr>
        <w:pStyle w:val="Bulletpoint1"/>
      </w:pPr>
      <w:r w:rsidRPr="00F9686E">
        <w:t>During the pandemic, 3/4 of workers (77% of women and 72% of men) accessed one or more form of flexible working arrangement.</w:t>
      </w:r>
    </w:p>
    <w:p w14:paraId="068B500D" w14:textId="45D3481E" w:rsidR="00F9686E" w:rsidRDefault="00F9686E" w:rsidP="00F9686E">
      <w:pPr>
        <w:pStyle w:val="Bulletpoint1"/>
      </w:pPr>
      <w:r w:rsidRPr="00F9686E">
        <w:t>Only 4% of workers reported that no flexible working arrangements were available at their workplace.</w:t>
      </w:r>
    </w:p>
    <w:tbl>
      <w:tblPr>
        <w:tblStyle w:val="VEOHRCsimplegrey"/>
        <w:tblW w:w="0" w:type="auto"/>
        <w:tblLook w:val="04A0" w:firstRow="1" w:lastRow="0" w:firstColumn="1" w:lastColumn="0" w:noHBand="0" w:noVBand="1"/>
      </w:tblPr>
      <w:tblGrid>
        <w:gridCol w:w="4106"/>
        <w:gridCol w:w="2552"/>
      </w:tblGrid>
      <w:tr w:rsidR="00172FA9" w14:paraId="406A945F" w14:textId="77777777" w:rsidTr="00C732F8">
        <w:tc>
          <w:tcPr>
            <w:tcW w:w="4106" w:type="dxa"/>
            <w:shd w:val="clear" w:color="auto" w:fill="071C53" w:themeFill="text2"/>
          </w:tcPr>
          <w:p w14:paraId="287EA839" w14:textId="2A6D0AB6" w:rsidR="00172FA9" w:rsidRPr="003E29D7" w:rsidRDefault="00172FA9" w:rsidP="00C732F8">
            <w:pPr>
              <w:pStyle w:val="Tableheadertext"/>
            </w:pPr>
            <w:r>
              <w:t>Flexible work arrangement</w:t>
            </w:r>
          </w:p>
        </w:tc>
        <w:tc>
          <w:tcPr>
            <w:tcW w:w="2552" w:type="dxa"/>
            <w:shd w:val="clear" w:color="auto" w:fill="071C53" w:themeFill="text2"/>
          </w:tcPr>
          <w:p w14:paraId="1E085326" w14:textId="77777777" w:rsidR="00172FA9" w:rsidRDefault="00172FA9" w:rsidP="00C732F8">
            <w:pPr>
              <w:pStyle w:val="Tableheaderfigures"/>
            </w:pPr>
            <w:r>
              <w:t>Responses (%)</w:t>
            </w:r>
          </w:p>
        </w:tc>
      </w:tr>
      <w:tr w:rsidR="00172FA9" w14:paraId="39640EE8" w14:textId="77777777" w:rsidTr="00C732F8">
        <w:tc>
          <w:tcPr>
            <w:tcW w:w="4106" w:type="dxa"/>
          </w:tcPr>
          <w:p w14:paraId="53CAE9DC" w14:textId="0810B22B" w:rsidR="00172FA9" w:rsidRPr="003E29D7" w:rsidRDefault="00172FA9" w:rsidP="00C732F8">
            <w:pPr>
              <w:pStyle w:val="Tabletext"/>
            </w:pPr>
            <w:r>
              <w:t>Taking leave when needed</w:t>
            </w:r>
          </w:p>
        </w:tc>
        <w:tc>
          <w:tcPr>
            <w:tcW w:w="2552" w:type="dxa"/>
          </w:tcPr>
          <w:p w14:paraId="2A7A8599" w14:textId="651871F7" w:rsidR="00172FA9" w:rsidRDefault="009E20D6" w:rsidP="00C732F8">
            <w:pPr>
              <w:pStyle w:val="Tablenumbers"/>
            </w:pPr>
            <w:r>
              <w:t>50</w:t>
            </w:r>
          </w:p>
        </w:tc>
      </w:tr>
      <w:tr w:rsidR="00172FA9" w14:paraId="365E4BF6" w14:textId="77777777" w:rsidTr="00C732F8">
        <w:tc>
          <w:tcPr>
            <w:tcW w:w="4106" w:type="dxa"/>
          </w:tcPr>
          <w:p w14:paraId="4E9CA954" w14:textId="7FCC1636" w:rsidR="00172FA9" w:rsidRPr="003E29D7" w:rsidRDefault="00E756A0" w:rsidP="00C732F8">
            <w:pPr>
              <w:pStyle w:val="Tabletext"/>
            </w:pPr>
            <w:r>
              <w:t xml:space="preserve">Attending personal appointments during work hours and </w:t>
            </w:r>
            <w:r w:rsidR="003B24C1">
              <w:t>making</w:t>
            </w:r>
            <w:r>
              <w:t xml:space="preserve"> up any </w:t>
            </w:r>
            <w:r w:rsidR="003B24C1">
              <w:t>lost time</w:t>
            </w:r>
          </w:p>
        </w:tc>
        <w:tc>
          <w:tcPr>
            <w:tcW w:w="2552" w:type="dxa"/>
          </w:tcPr>
          <w:p w14:paraId="6B18ED8E" w14:textId="1F1024AD" w:rsidR="00172FA9" w:rsidRDefault="009E20D6" w:rsidP="00C732F8">
            <w:pPr>
              <w:pStyle w:val="Tablenumbers"/>
            </w:pPr>
            <w:r>
              <w:t>40</w:t>
            </w:r>
          </w:p>
        </w:tc>
      </w:tr>
      <w:tr w:rsidR="00172FA9" w14:paraId="39884111" w14:textId="77777777" w:rsidTr="00C732F8">
        <w:tc>
          <w:tcPr>
            <w:tcW w:w="4106" w:type="dxa"/>
          </w:tcPr>
          <w:p w14:paraId="5A94DB15" w14:textId="2BEA6640" w:rsidR="00172FA9" w:rsidRPr="003E29D7" w:rsidRDefault="009E20D6" w:rsidP="00C732F8">
            <w:pPr>
              <w:pStyle w:val="Tabletext"/>
            </w:pPr>
            <w:r>
              <w:t>Working from home or remotely</w:t>
            </w:r>
          </w:p>
        </w:tc>
        <w:tc>
          <w:tcPr>
            <w:tcW w:w="2552" w:type="dxa"/>
          </w:tcPr>
          <w:p w14:paraId="1BA58FBF" w14:textId="61FE7956" w:rsidR="00172FA9" w:rsidRDefault="009E20D6" w:rsidP="00C732F8">
            <w:pPr>
              <w:pStyle w:val="Tablenumbers"/>
            </w:pPr>
            <w:r>
              <w:t>32</w:t>
            </w:r>
          </w:p>
        </w:tc>
      </w:tr>
      <w:tr w:rsidR="00172FA9" w14:paraId="0A7E33F1" w14:textId="77777777" w:rsidTr="00C732F8">
        <w:tc>
          <w:tcPr>
            <w:tcW w:w="4106" w:type="dxa"/>
          </w:tcPr>
          <w:p w14:paraId="3B35093C" w14:textId="00BAF704" w:rsidR="00172FA9" w:rsidRPr="003E29D7" w:rsidRDefault="009E20D6" w:rsidP="00C732F8">
            <w:pPr>
              <w:pStyle w:val="Tabletext"/>
            </w:pPr>
            <w:r>
              <w:t>Choosing what days or times to work</w:t>
            </w:r>
          </w:p>
        </w:tc>
        <w:tc>
          <w:tcPr>
            <w:tcW w:w="2552" w:type="dxa"/>
          </w:tcPr>
          <w:p w14:paraId="7CB01763" w14:textId="5CCD5EF9" w:rsidR="00172FA9" w:rsidRDefault="009E20D6" w:rsidP="00C732F8">
            <w:pPr>
              <w:pStyle w:val="Tablenumbers"/>
            </w:pPr>
            <w:r>
              <w:t>34</w:t>
            </w:r>
          </w:p>
        </w:tc>
      </w:tr>
    </w:tbl>
    <w:p w14:paraId="7BC35B2C" w14:textId="77777777" w:rsidR="005604E8" w:rsidRDefault="005604E8" w:rsidP="00BC4544">
      <w:pPr>
        <w:pStyle w:val="Heading2nonumber"/>
      </w:pPr>
    </w:p>
    <w:p w14:paraId="261FC514" w14:textId="77777777" w:rsidR="005604E8" w:rsidRDefault="005604E8">
      <w:pPr>
        <w:spacing w:before="0" w:after="160" w:line="259" w:lineRule="auto"/>
        <w:rPr>
          <w:b/>
          <w:color w:val="071C53" w:themeColor="text2"/>
          <w:sz w:val="44"/>
          <w:szCs w:val="22"/>
        </w:rPr>
      </w:pPr>
      <w:r>
        <w:br w:type="page"/>
      </w:r>
    </w:p>
    <w:p w14:paraId="21F328ED" w14:textId="108DAC83" w:rsidR="00BC4544" w:rsidRPr="00BC4544" w:rsidRDefault="00BC4544" w:rsidP="00BC4544">
      <w:pPr>
        <w:pStyle w:val="Heading2nonumber"/>
      </w:pPr>
      <w:r w:rsidRPr="00BC4544">
        <w:lastRenderedPageBreak/>
        <w:t>Flexibility supports productivity and other benefits</w:t>
      </w:r>
    </w:p>
    <w:p w14:paraId="0875D754" w14:textId="77777777" w:rsidR="00BC4544" w:rsidRPr="00BC4544" w:rsidRDefault="00BC4544" w:rsidP="00BC4544">
      <w:pPr>
        <w:pStyle w:val="Bodytextnormal"/>
      </w:pPr>
      <w:r w:rsidRPr="00BC4544">
        <w:t>In total, 88% of workers surveyed had a positive or neutral experience with flexible work. Only 12% had a negative experience.</w:t>
      </w:r>
    </w:p>
    <w:p w14:paraId="2BD27314" w14:textId="77777777" w:rsidR="00BC4544" w:rsidRPr="00BC4544" w:rsidRDefault="00BC4544" w:rsidP="00BC4544">
      <w:pPr>
        <w:pStyle w:val="Bodytextnormal"/>
      </w:pPr>
      <w:r w:rsidRPr="00BC4544">
        <w:t>Some groups were more positive about flexible work than others:</w:t>
      </w:r>
    </w:p>
    <w:p w14:paraId="43959DA2" w14:textId="6B651DC8" w:rsidR="00BC4544" w:rsidRPr="00BC4544" w:rsidRDefault="00BC4544" w:rsidP="00BC4544">
      <w:pPr>
        <w:pStyle w:val="Bulletpoint1"/>
      </w:pPr>
      <w:r w:rsidRPr="00BC4544">
        <w:t>56% of workers with disability reported a positive experience, compared to 45% of workers without disability</w:t>
      </w:r>
    </w:p>
    <w:p w14:paraId="615AFFBD" w14:textId="5EB673F7" w:rsidR="00147A00" w:rsidRDefault="00BC4544" w:rsidP="00BC4544">
      <w:pPr>
        <w:pStyle w:val="Bulletpoint1"/>
      </w:pPr>
      <w:r w:rsidRPr="00BC4544">
        <w:t>a high proportion of caregivers (57%) reported positive experiences of flexible work.</w:t>
      </w:r>
    </w:p>
    <w:tbl>
      <w:tblPr>
        <w:tblStyle w:val="VEOHRCsimplegrey"/>
        <w:tblW w:w="0" w:type="auto"/>
        <w:tblLook w:val="04A0" w:firstRow="1" w:lastRow="0" w:firstColumn="1" w:lastColumn="0" w:noHBand="0" w:noVBand="1"/>
      </w:tblPr>
      <w:tblGrid>
        <w:gridCol w:w="4106"/>
        <w:gridCol w:w="2552"/>
      </w:tblGrid>
      <w:tr w:rsidR="000523E5" w14:paraId="106BC52E" w14:textId="77777777" w:rsidTr="00FD0D20">
        <w:tc>
          <w:tcPr>
            <w:tcW w:w="4106" w:type="dxa"/>
            <w:shd w:val="clear" w:color="auto" w:fill="071C53" w:themeFill="text2"/>
          </w:tcPr>
          <w:p w14:paraId="09076726" w14:textId="447BC3F1" w:rsidR="000523E5" w:rsidRPr="003E29D7" w:rsidRDefault="00CF4169" w:rsidP="00FD0D20">
            <w:pPr>
              <w:pStyle w:val="Tableheadertext"/>
            </w:pPr>
            <w:r>
              <w:t>Benefit</w:t>
            </w:r>
          </w:p>
        </w:tc>
        <w:tc>
          <w:tcPr>
            <w:tcW w:w="2552" w:type="dxa"/>
            <w:shd w:val="clear" w:color="auto" w:fill="071C53" w:themeFill="text2"/>
          </w:tcPr>
          <w:p w14:paraId="7C0CC197" w14:textId="1A720738" w:rsidR="000523E5" w:rsidRDefault="00CF4169" w:rsidP="00FD0D20">
            <w:pPr>
              <w:pStyle w:val="Tableheaderfigures"/>
            </w:pPr>
            <w:r>
              <w:t>Responses (%)</w:t>
            </w:r>
          </w:p>
        </w:tc>
      </w:tr>
      <w:tr w:rsidR="000523E5" w14:paraId="44FF40F0" w14:textId="77777777" w:rsidTr="00FD0D20">
        <w:tc>
          <w:tcPr>
            <w:tcW w:w="4106" w:type="dxa"/>
          </w:tcPr>
          <w:p w14:paraId="11782AFD" w14:textId="025AB81B" w:rsidR="000523E5" w:rsidRPr="003E29D7" w:rsidRDefault="00CF4169" w:rsidP="00FD0D20">
            <w:pPr>
              <w:pStyle w:val="Tabletext"/>
            </w:pPr>
            <w:r>
              <w:t>Being more productive at work</w:t>
            </w:r>
          </w:p>
        </w:tc>
        <w:tc>
          <w:tcPr>
            <w:tcW w:w="2552" w:type="dxa"/>
          </w:tcPr>
          <w:p w14:paraId="4A15E501" w14:textId="64E87BC4" w:rsidR="000523E5" w:rsidRDefault="00CF4169" w:rsidP="00FD0D20">
            <w:pPr>
              <w:pStyle w:val="Tablenumbers"/>
            </w:pPr>
            <w:r>
              <w:t>45</w:t>
            </w:r>
          </w:p>
        </w:tc>
      </w:tr>
      <w:tr w:rsidR="000523E5" w14:paraId="400F9C32" w14:textId="77777777" w:rsidTr="00FD0D20">
        <w:tc>
          <w:tcPr>
            <w:tcW w:w="4106" w:type="dxa"/>
          </w:tcPr>
          <w:p w14:paraId="0F6B0E68" w14:textId="29024971" w:rsidR="000523E5" w:rsidRPr="003E29D7" w:rsidRDefault="00CF4169" w:rsidP="00FD0D20">
            <w:pPr>
              <w:pStyle w:val="Tabletext"/>
            </w:pPr>
            <w:r>
              <w:t>Having more time to spend with family</w:t>
            </w:r>
          </w:p>
        </w:tc>
        <w:tc>
          <w:tcPr>
            <w:tcW w:w="2552" w:type="dxa"/>
          </w:tcPr>
          <w:p w14:paraId="19146FBE" w14:textId="65B6202B" w:rsidR="000523E5" w:rsidRDefault="00CF4169" w:rsidP="00FD0D20">
            <w:pPr>
              <w:pStyle w:val="Tablenumbers"/>
            </w:pPr>
            <w:r>
              <w:t>16</w:t>
            </w:r>
          </w:p>
        </w:tc>
      </w:tr>
      <w:tr w:rsidR="000523E5" w14:paraId="37C2B6C3" w14:textId="77777777" w:rsidTr="00FD0D20">
        <w:tc>
          <w:tcPr>
            <w:tcW w:w="4106" w:type="dxa"/>
          </w:tcPr>
          <w:p w14:paraId="31E811A4" w14:textId="0B051221" w:rsidR="000523E5" w:rsidRPr="003E29D7" w:rsidRDefault="00CF4169" w:rsidP="00FD0D20">
            <w:pPr>
              <w:pStyle w:val="Tabletext"/>
            </w:pPr>
            <w:r>
              <w:t>Having more time due to no commute or a reduced commute</w:t>
            </w:r>
          </w:p>
        </w:tc>
        <w:tc>
          <w:tcPr>
            <w:tcW w:w="2552" w:type="dxa"/>
          </w:tcPr>
          <w:p w14:paraId="2EF99480" w14:textId="01492F61" w:rsidR="000523E5" w:rsidRDefault="00CF4169" w:rsidP="00FD0D20">
            <w:pPr>
              <w:pStyle w:val="Tablenumbers"/>
            </w:pPr>
            <w:r>
              <w:t>15</w:t>
            </w:r>
          </w:p>
        </w:tc>
      </w:tr>
    </w:tbl>
    <w:p w14:paraId="73598218" w14:textId="7001D874" w:rsidR="003657DB" w:rsidRPr="003657DB" w:rsidRDefault="000523E5" w:rsidP="004954CD">
      <w:pPr>
        <w:pStyle w:val="Quote"/>
        <w:spacing w:before="240"/>
        <w:rPr>
          <w:rStyle w:val="Characteritalic"/>
        </w:rPr>
      </w:pPr>
      <w:r w:rsidRPr="003657DB">
        <w:rPr>
          <w:rStyle w:val="Characteritalic"/>
        </w:rPr>
        <w:t xml:space="preserve"> </w:t>
      </w:r>
      <w:r w:rsidR="003657DB" w:rsidRPr="003657DB">
        <w:rPr>
          <w:rStyle w:val="Characteritalic"/>
        </w:rPr>
        <w:t>“Better health – diet is better due to more time to prepare meals, more exercise as I have time to walk dogs and do workouts before work. Better relationship – time to do housework. Better mental health – I have seasonal affective disorder and winter is a bad time for me. Being at home I spent more time outdoors, which has significantly lessened the effect this has had on me this year.”</w:t>
      </w:r>
    </w:p>
    <w:p w14:paraId="731B3D08" w14:textId="44570558" w:rsidR="00952461" w:rsidRPr="003657DB" w:rsidRDefault="003657DB" w:rsidP="003657DB">
      <w:pPr>
        <w:pStyle w:val="Quote"/>
        <w:rPr>
          <w:rStyle w:val="Characteritalic"/>
        </w:rPr>
      </w:pPr>
      <w:r w:rsidRPr="003657DB">
        <w:rPr>
          <w:rStyle w:val="Characteritalic"/>
        </w:rPr>
        <w:t>“Less time and money to commute, which is fantastic. I am also able to take on carer duties whilst working remotely…”</w:t>
      </w:r>
    </w:p>
    <w:p w14:paraId="2E702D8C" w14:textId="77777777" w:rsidR="00E52A3D" w:rsidRPr="00E52A3D" w:rsidRDefault="00E52A3D" w:rsidP="00E52A3D">
      <w:pPr>
        <w:pStyle w:val="Heading2nonumber"/>
      </w:pPr>
      <w:r w:rsidRPr="00E52A3D">
        <w:t>Many workers feel unable to ask for flexibility</w:t>
      </w:r>
    </w:p>
    <w:p w14:paraId="20901FFD" w14:textId="77777777" w:rsidR="00E52A3D" w:rsidRPr="00E52A3D" w:rsidRDefault="00E52A3D" w:rsidP="00892470">
      <w:pPr>
        <w:pStyle w:val="Bodytextnormal"/>
      </w:pPr>
      <w:r w:rsidRPr="00E52A3D">
        <w:t>A significant proportion of workers surveyed who wanted flexibility didn’t ask for it, fearing it would jeopardise their job security or that their employer would refuse their request.</w:t>
      </w:r>
    </w:p>
    <w:p w14:paraId="5427F55D" w14:textId="25F5E3D8" w:rsidR="00E52A3D" w:rsidRPr="00E52A3D" w:rsidRDefault="00E52A3D" w:rsidP="00E52A3D">
      <w:pPr>
        <w:pStyle w:val="Bulletpoint1"/>
      </w:pPr>
      <w:r w:rsidRPr="00E52A3D">
        <w:t>Almost one in five workers (19%) wanted to ask for a flexible work arrangement but didn’t</w:t>
      </w:r>
    </w:p>
    <w:p w14:paraId="1BFCE36E" w14:textId="60298D29" w:rsidR="00E52A3D" w:rsidRPr="00E52A3D" w:rsidRDefault="00E52A3D" w:rsidP="00E52A3D">
      <w:pPr>
        <w:pStyle w:val="Bulletpoint1"/>
      </w:pPr>
      <w:r w:rsidRPr="00E52A3D">
        <w:t>Men were less likely than women to think flexibility was for them – about 30% of men thought it would not be possible in their role, compared to 18% of women.</w:t>
      </w:r>
    </w:p>
    <w:p w14:paraId="2578C214" w14:textId="77777777" w:rsidR="00E52A3D" w:rsidRDefault="00E52A3D" w:rsidP="00892470">
      <w:pPr>
        <w:pStyle w:val="Bodytextnormal"/>
      </w:pPr>
      <w:r w:rsidRPr="00E52A3D">
        <w:t>Here are some of the most common reasons people didn't ask for flexible arrangements:</w:t>
      </w:r>
      <w:r w:rsidR="00F9686E" w:rsidRPr="00F9686E">
        <w:t xml:space="preserve"> </w:t>
      </w:r>
    </w:p>
    <w:p w14:paraId="266799A1" w14:textId="0C0D5B22" w:rsidR="00441A3C" w:rsidRDefault="00441A3C" w:rsidP="00441A3C">
      <w:pPr>
        <w:pStyle w:val="Bulletpoint1"/>
      </w:pPr>
      <w:r w:rsidRPr="00441A3C">
        <w:t>32%</w:t>
      </w:r>
      <w:r>
        <w:t xml:space="preserve"> – </w:t>
      </w:r>
      <w:r w:rsidRPr="00441A3C">
        <w:t>I thought it would have a negative impact on my job security</w:t>
      </w:r>
    </w:p>
    <w:p w14:paraId="776DF187" w14:textId="695DF917" w:rsidR="001818D0" w:rsidRDefault="001818D0" w:rsidP="001818D0">
      <w:pPr>
        <w:pStyle w:val="Bulletpoint1"/>
      </w:pPr>
      <w:r w:rsidRPr="001818D0">
        <w:t>30%</w:t>
      </w:r>
      <w:r>
        <w:t xml:space="preserve"> – </w:t>
      </w:r>
      <w:r w:rsidRPr="001818D0">
        <w:t>I thought my employer would refuse</w:t>
      </w:r>
    </w:p>
    <w:p w14:paraId="5529CA7C" w14:textId="0C3B22BC" w:rsidR="001818D0" w:rsidRDefault="00EF27BA" w:rsidP="00EF27BA">
      <w:pPr>
        <w:pStyle w:val="Bulletpoint1"/>
      </w:pPr>
      <w:r w:rsidRPr="00EF27BA">
        <w:t>28%</w:t>
      </w:r>
      <w:r>
        <w:t xml:space="preserve"> – </w:t>
      </w:r>
      <w:r w:rsidRPr="00EF27BA">
        <w:t>I wasn’t sure of my rights</w:t>
      </w:r>
    </w:p>
    <w:p w14:paraId="53B04BAE" w14:textId="3A8B1339" w:rsidR="00EE7684" w:rsidRDefault="00EE7684" w:rsidP="00EE7684">
      <w:pPr>
        <w:pStyle w:val="Bulletpoint1"/>
      </w:pPr>
      <w:r w:rsidRPr="00EE7684">
        <w:t>21%</w:t>
      </w:r>
      <w:r>
        <w:t xml:space="preserve"> – </w:t>
      </w:r>
      <w:r w:rsidRPr="00EE7684">
        <w:t>I was too scared or shy</w:t>
      </w:r>
    </w:p>
    <w:p w14:paraId="046D4FAC" w14:textId="54EF98A9" w:rsidR="00FC2CBA" w:rsidRDefault="00FC2CBA" w:rsidP="00FC2CBA">
      <w:pPr>
        <w:pStyle w:val="Bulletpoint1"/>
      </w:pPr>
      <w:r w:rsidRPr="00FC2CBA">
        <w:t>14%</w:t>
      </w:r>
      <w:r>
        <w:t xml:space="preserve"> – </w:t>
      </w:r>
      <w:r w:rsidRPr="00FC2CBA">
        <w:t>I didn’t know how to ask</w:t>
      </w:r>
    </w:p>
    <w:p w14:paraId="5A41FA71" w14:textId="77777777" w:rsidR="00356A2C" w:rsidRDefault="00356A2C">
      <w:pPr>
        <w:spacing w:before="0" w:after="160" w:line="259" w:lineRule="auto"/>
        <w:rPr>
          <w:b/>
          <w:color w:val="071C53" w:themeColor="text2"/>
          <w:sz w:val="44"/>
          <w:szCs w:val="22"/>
        </w:rPr>
      </w:pPr>
      <w:r>
        <w:br w:type="page"/>
      </w:r>
    </w:p>
    <w:p w14:paraId="2AA3657F" w14:textId="557DE834" w:rsidR="009A06AE" w:rsidRPr="009A06AE" w:rsidRDefault="009A06AE" w:rsidP="00411F7F">
      <w:pPr>
        <w:pStyle w:val="Heading2nonumber"/>
      </w:pPr>
      <w:r w:rsidRPr="009A06AE">
        <w:lastRenderedPageBreak/>
        <w:t>Employers need support to understand their obligations</w:t>
      </w:r>
    </w:p>
    <w:p w14:paraId="6D5F70BD" w14:textId="77777777" w:rsidR="00411F7F" w:rsidRDefault="009A06AE" w:rsidP="009A06AE">
      <w:pPr>
        <w:pStyle w:val="Bodytextnormal"/>
      </w:pPr>
      <w:r w:rsidRPr="009A06AE">
        <w:t>Many employers do not understand their legal obligations regarding flexible work and a significant number are unnecessarily or inappropriately denying requests to work flexibly.</w:t>
      </w:r>
    </w:p>
    <w:p w14:paraId="6032FAC0" w14:textId="310D80C6" w:rsidR="00411F7F" w:rsidRPr="00411F7F" w:rsidRDefault="00411F7F" w:rsidP="00411F7F">
      <w:pPr>
        <w:pStyle w:val="Bulletpoint1"/>
      </w:pPr>
      <w:r w:rsidRPr="00411F7F">
        <w:t>The most common reason given by employers for refusing flexible work requests was that the organisation was short- staffed (29% of respondents). However, most “reasons” given didn’t appear to be legitimate.</w:t>
      </w:r>
    </w:p>
    <w:p w14:paraId="58EA2EB7" w14:textId="54A43E0E" w:rsidR="00411F7F" w:rsidRPr="00411F7F" w:rsidRDefault="00411F7F" w:rsidP="00411F7F">
      <w:pPr>
        <w:pStyle w:val="Bulletpoint1"/>
      </w:pPr>
      <w:r w:rsidRPr="00411F7F">
        <w:t>One in four employers told their workers they “would think about it”, but still hadn’t informed the worker of the outcome at the time of the survey.</w:t>
      </w:r>
    </w:p>
    <w:p w14:paraId="45711CDC" w14:textId="77777777" w:rsidR="00411F7F" w:rsidRDefault="00411F7F" w:rsidP="00411F7F">
      <w:pPr>
        <w:pStyle w:val="Bulletpoint1"/>
      </w:pPr>
      <w:r w:rsidRPr="00411F7F">
        <w:t>10% of employers did not give a reason for denying a flexible work request, and 15% did not have a policy on flexible work arrangements</w:t>
      </w:r>
    </w:p>
    <w:p w14:paraId="7A6ABCD5" w14:textId="77777777" w:rsidR="00225A64" w:rsidRPr="00225A64" w:rsidRDefault="00225A64" w:rsidP="00225A64">
      <w:pPr>
        <w:pStyle w:val="Heading2nonumber"/>
      </w:pPr>
      <w:r w:rsidRPr="00225A64">
        <w:t>Denying flexibility harms workers</w:t>
      </w:r>
    </w:p>
    <w:p w14:paraId="03A5FA9D" w14:textId="1F069F4F" w:rsidR="00225A64" w:rsidRDefault="00225A64" w:rsidP="00225A64">
      <w:pPr>
        <w:pStyle w:val="Bodytextnormal"/>
      </w:pPr>
      <w:r w:rsidRPr="00225A64">
        <w:t xml:space="preserve">People who were unable to work flexibly reported a range of negative impacts, including on their mental health, family life, </w:t>
      </w:r>
      <w:proofErr w:type="gramStart"/>
      <w:r w:rsidRPr="00225A64">
        <w:t>workload</w:t>
      </w:r>
      <w:proofErr w:type="gramEnd"/>
      <w:r w:rsidRPr="00225A64">
        <w:t xml:space="preserve"> and satisfaction levels at work, with most of these issues being more prominent for women than men.</w:t>
      </w:r>
    </w:p>
    <w:p w14:paraId="5C1A66A6" w14:textId="7DC09342" w:rsidR="00661A8B" w:rsidRDefault="00661A8B" w:rsidP="00661A8B">
      <w:pPr>
        <w:pStyle w:val="Heading4"/>
      </w:pPr>
      <w:r w:rsidRPr="00661A8B">
        <w:t>Here are some of the most negative impacts of a lack of flexibility we heard about:</w:t>
      </w:r>
    </w:p>
    <w:tbl>
      <w:tblPr>
        <w:tblStyle w:val="VEOHRCsimplegrey"/>
        <w:tblW w:w="9071" w:type="dxa"/>
        <w:tblLook w:val="04A0" w:firstRow="1" w:lastRow="0" w:firstColumn="1" w:lastColumn="0" w:noHBand="0" w:noVBand="1"/>
      </w:tblPr>
      <w:tblGrid>
        <w:gridCol w:w="5669"/>
        <w:gridCol w:w="1701"/>
        <w:gridCol w:w="1701"/>
      </w:tblGrid>
      <w:tr w:rsidR="006357BE" w14:paraId="0CCD2727" w14:textId="4410DBD6" w:rsidTr="00EA019B">
        <w:tc>
          <w:tcPr>
            <w:tcW w:w="5669" w:type="dxa"/>
            <w:shd w:val="clear" w:color="auto" w:fill="071C53" w:themeFill="text2"/>
          </w:tcPr>
          <w:p w14:paraId="4129E8DF" w14:textId="017D72A3" w:rsidR="00661A8B" w:rsidRPr="003E29D7" w:rsidRDefault="00661A8B" w:rsidP="00FD0D20">
            <w:pPr>
              <w:pStyle w:val="Tableheadertext"/>
            </w:pPr>
            <w:r>
              <w:t>Impact</w:t>
            </w:r>
          </w:p>
        </w:tc>
        <w:tc>
          <w:tcPr>
            <w:tcW w:w="1701" w:type="dxa"/>
            <w:shd w:val="clear" w:color="auto" w:fill="071C53" w:themeFill="text2"/>
          </w:tcPr>
          <w:p w14:paraId="7FD7971D" w14:textId="670A225A" w:rsidR="00661A8B" w:rsidRDefault="00661A8B" w:rsidP="00FD0D20">
            <w:pPr>
              <w:pStyle w:val="Tableheaderfigures"/>
            </w:pPr>
            <w:r>
              <w:t>Men</w:t>
            </w:r>
            <w:r>
              <w:t xml:space="preserve"> (%)</w:t>
            </w:r>
          </w:p>
        </w:tc>
        <w:tc>
          <w:tcPr>
            <w:tcW w:w="1701" w:type="dxa"/>
            <w:shd w:val="clear" w:color="auto" w:fill="071C53" w:themeFill="text2"/>
          </w:tcPr>
          <w:p w14:paraId="55CE6D3E" w14:textId="08F321AD" w:rsidR="00661A8B" w:rsidRDefault="00851357" w:rsidP="00FD0D20">
            <w:pPr>
              <w:pStyle w:val="Tableheaderfigures"/>
            </w:pPr>
            <w:r>
              <w:t>Women (%)</w:t>
            </w:r>
          </w:p>
        </w:tc>
      </w:tr>
      <w:tr w:rsidR="006357BE" w14:paraId="2B93AE1E" w14:textId="0CB9447F" w:rsidTr="00EA019B">
        <w:tc>
          <w:tcPr>
            <w:tcW w:w="5669" w:type="dxa"/>
          </w:tcPr>
          <w:p w14:paraId="3563C122" w14:textId="6AFADE5A" w:rsidR="00661A8B" w:rsidRPr="003E29D7" w:rsidRDefault="00851357" w:rsidP="00FD0D20">
            <w:pPr>
              <w:pStyle w:val="Tabletext"/>
            </w:pPr>
            <w:r>
              <w:t>More stress</w:t>
            </w:r>
          </w:p>
        </w:tc>
        <w:tc>
          <w:tcPr>
            <w:tcW w:w="1701" w:type="dxa"/>
          </w:tcPr>
          <w:p w14:paraId="4EF51782" w14:textId="73A74065" w:rsidR="00661A8B" w:rsidRDefault="00AB267D" w:rsidP="00FD0D20">
            <w:pPr>
              <w:pStyle w:val="Tablenumbers"/>
            </w:pPr>
            <w:r>
              <w:t>16</w:t>
            </w:r>
          </w:p>
        </w:tc>
        <w:tc>
          <w:tcPr>
            <w:tcW w:w="1701" w:type="dxa"/>
          </w:tcPr>
          <w:p w14:paraId="3A857588" w14:textId="7E353DB4" w:rsidR="00661A8B" w:rsidRDefault="00153BC0" w:rsidP="00FD0D20">
            <w:pPr>
              <w:pStyle w:val="Tablenumbers"/>
            </w:pPr>
            <w:r>
              <w:t>20</w:t>
            </w:r>
          </w:p>
        </w:tc>
      </w:tr>
      <w:tr w:rsidR="006357BE" w14:paraId="25DFCEAA" w14:textId="18EED1B0" w:rsidTr="00EA019B">
        <w:tc>
          <w:tcPr>
            <w:tcW w:w="5669" w:type="dxa"/>
          </w:tcPr>
          <w:p w14:paraId="5B8B9135" w14:textId="7635EA7D" w:rsidR="00661A8B" w:rsidRPr="003E29D7" w:rsidRDefault="00851357" w:rsidP="00FD0D20">
            <w:pPr>
              <w:pStyle w:val="Tabletext"/>
            </w:pPr>
            <w:r>
              <w:t>Less time at home or ‘family time’</w:t>
            </w:r>
          </w:p>
        </w:tc>
        <w:tc>
          <w:tcPr>
            <w:tcW w:w="1701" w:type="dxa"/>
          </w:tcPr>
          <w:p w14:paraId="144E9611" w14:textId="6E438396" w:rsidR="00661A8B" w:rsidRDefault="00153BC0" w:rsidP="00FD0D20">
            <w:pPr>
              <w:pStyle w:val="Tablenumbers"/>
            </w:pPr>
            <w:r>
              <w:t>7</w:t>
            </w:r>
          </w:p>
        </w:tc>
        <w:tc>
          <w:tcPr>
            <w:tcW w:w="1701" w:type="dxa"/>
          </w:tcPr>
          <w:p w14:paraId="1CEF0F07" w14:textId="4E8C48F3" w:rsidR="00661A8B" w:rsidRDefault="00153BC0" w:rsidP="00FD0D20">
            <w:pPr>
              <w:pStyle w:val="Tablenumbers"/>
            </w:pPr>
            <w:r>
              <w:t>15</w:t>
            </w:r>
          </w:p>
        </w:tc>
      </w:tr>
      <w:tr w:rsidR="006357BE" w14:paraId="710685E3" w14:textId="71AA2535" w:rsidTr="00EA019B">
        <w:tc>
          <w:tcPr>
            <w:tcW w:w="5669" w:type="dxa"/>
          </w:tcPr>
          <w:p w14:paraId="160803FC" w14:textId="3EDE1E99" w:rsidR="00661A8B" w:rsidRPr="003E29D7" w:rsidRDefault="00851357" w:rsidP="00FD0D20">
            <w:pPr>
              <w:pStyle w:val="Tabletext"/>
            </w:pPr>
            <w:r>
              <w:t>Poor work–life balance or life being generally more difficult</w:t>
            </w:r>
          </w:p>
        </w:tc>
        <w:tc>
          <w:tcPr>
            <w:tcW w:w="1701" w:type="dxa"/>
          </w:tcPr>
          <w:p w14:paraId="4C8DA52D" w14:textId="61BA789A" w:rsidR="00661A8B" w:rsidRDefault="00153BC0" w:rsidP="00FD0D20">
            <w:pPr>
              <w:pStyle w:val="Tablenumbers"/>
            </w:pPr>
            <w:r>
              <w:t>10</w:t>
            </w:r>
          </w:p>
        </w:tc>
        <w:tc>
          <w:tcPr>
            <w:tcW w:w="1701" w:type="dxa"/>
          </w:tcPr>
          <w:p w14:paraId="27625831" w14:textId="43D6CFFD" w:rsidR="00661A8B" w:rsidRDefault="00153BC0" w:rsidP="00FD0D20">
            <w:pPr>
              <w:pStyle w:val="Tablenumbers"/>
            </w:pPr>
            <w:r>
              <w:t>13</w:t>
            </w:r>
          </w:p>
        </w:tc>
      </w:tr>
      <w:tr w:rsidR="006357BE" w14:paraId="6CF0EEA9" w14:textId="77777777" w:rsidTr="00EA019B">
        <w:tc>
          <w:tcPr>
            <w:tcW w:w="5669" w:type="dxa"/>
          </w:tcPr>
          <w:p w14:paraId="14359D89" w14:textId="5CACDF0E" w:rsidR="00851357" w:rsidRPr="003E29D7" w:rsidRDefault="00AB267D" w:rsidP="00FD0D20">
            <w:pPr>
              <w:pStyle w:val="Tabletext"/>
            </w:pPr>
            <w:r>
              <w:t>Anger or resentment towards employer or feeling unsupported or dissatisfied at work</w:t>
            </w:r>
          </w:p>
        </w:tc>
        <w:tc>
          <w:tcPr>
            <w:tcW w:w="1701" w:type="dxa"/>
          </w:tcPr>
          <w:p w14:paraId="67E93F39" w14:textId="49B18AA8" w:rsidR="00851357" w:rsidRDefault="00153BC0" w:rsidP="00FD0D20">
            <w:pPr>
              <w:pStyle w:val="Tablenumbers"/>
            </w:pPr>
            <w:r>
              <w:t>8</w:t>
            </w:r>
          </w:p>
        </w:tc>
        <w:tc>
          <w:tcPr>
            <w:tcW w:w="1701" w:type="dxa"/>
          </w:tcPr>
          <w:p w14:paraId="7A2B5F38" w14:textId="5277E4DE" w:rsidR="00851357" w:rsidRDefault="00153BC0" w:rsidP="00FD0D20">
            <w:pPr>
              <w:pStyle w:val="Tablenumbers"/>
            </w:pPr>
            <w:r>
              <w:t>10</w:t>
            </w:r>
          </w:p>
        </w:tc>
      </w:tr>
      <w:tr w:rsidR="006357BE" w14:paraId="67F3605B" w14:textId="332977E4" w:rsidTr="00EA019B">
        <w:tc>
          <w:tcPr>
            <w:tcW w:w="5669" w:type="dxa"/>
          </w:tcPr>
          <w:p w14:paraId="224B4DCD" w14:textId="178790E5" w:rsidR="00661A8B" w:rsidRPr="003E29D7" w:rsidRDefault="00AB267D" w:rsidP="00FD0D20">
            <w:pPr>
              <w:pStyle w:val="Tabletext"/>
            </w:pPr>
            <w:r>
              <w:t xml:space="preserve">Anxiety, depression, </w:t>
            </w:r>
            <w:proofErr w:type="gramStart"/>
            <w:r>
              <w:t>sadness</w:t>
            </w:r>
            <w:proofErr w:type="gramEnd"/>
            <w:r>
              <w:t xml:space="preserve"> or poor mental health</w:t>
            </w:r>
          </w:p>
        </w:tc>
        <w:tc>
          <w:tcPr>
            <w:tcW w:w="1701" w:type="dxa"/>
          </w:tcPr>
          <w:p w14:paraId="3DF48086" w14:textId="3B211949" w:rsidR="00661A8B" w:rsidRDefault="00153BC0" w:rsidP="00FD0D20">
            <w:pPr>
              <w:pStyle w:val="Tablenumbers"/>
            </w:pPr>
            <w:r>
              <w:t>7</w:t>
            </w:r>
          </w:p>
        </w:tc>
        <w:tc>
          <w:tcPr>
            <w:tcW w:w="1701" w:type="dxa"/>
          </w:tcPr>
          <w:p w14:paraId="58E93912" w14:textId="5C93FBA1" w:rsidR="00661A8B" w:rsidRDefault="00153BC0" w:rsidP="00FD0D20">
            <w:pPr>
              <w:pStyle w:val="Tablenumbers"/>
            </w:pPr>
            <w:r>
              <w:t>9</w:t>
            </w:r>
          </w:p>
        </w:tc>
      </w:tr>
    </w:tbl>
    <w:p w14:paraId="0DCB6298" w14:textId="77777777" w:rsidR="00062D7C" w:rsidRPr="00062D7C" w:rsidRDefault="00062D7C" w:rsidP="00062D7C">
      <w:pPr>
        <w:pStyle w:val="Heading2nonumber"/>
      </w:pPr>
      <w:r w:rsidRPr="00062D7C">
        <w:t>Men and marginalised groups are more likely to be refused flexible work</w:t>
      </w:r>
    </w:p>
    <w:p w14:paraId="59D35724" w14:textId="77777777" w:rsidR="00062D7C" w:rsidRDefault="00062D7C" w:rsidP="00062D7C">
      <w:pPr>
        <w:pStyle w:val="Bodytextnormal"/>
      </w:pPr>
      <w:r w:rsidRPr="00062D7C">
        <w:t>Stereotypes and discriminatory attitudes appear to be influencing employers’ decisions about flexible work.</w:t>
      </w:r>
    </w:p>
    <w:p w14:paraId="206FF2C8" w14:textId="77777777" w:rsidR="00C336CC" w:rsidRDefault="00C336CC" w:rsidP="00C336CC">
      <w:pPr>
        <w:pStyle w:val="Bulletpoint1"/>
      </w:pPr>
      <w:r w:rsidRPr="00C336CC">
        <w:t>18% of men, compared with 14% of women, had a request for flexible work arrangements to accommodate childcare responsibilities refused.</w:t>
      </w:r>
    </w:p>
    <w:p w14:paraId="6E2AE644" w14:textId="77777777" w:rsidR="00524584" w:rsidRDefault="00524584" w:rsidP="00C336CC">
      <w:pPr>
        <w:pStyle w:val="Bulletpoint1"/>
      </w:pPr>
      <w:r w:rsidRPr="00524584">
        <w:t>Some other groups also reported being refused at high rates</w:t>
      </w:r>
      <w:r>
        <w:t>:</w:t>
      </w:r>
    </w:p>
    <w:p w14:paraId="10AD620E" w14:textId="1328820B" w:rsidR="00166208" w:rsidRDefault="00262217" w:rsidP="00524584">
      <w:pPr>
        <w:pStyle w:val="Bulletpoint2"/>
      </w:pPr>
      <w:r>
        <w:t xml:space="preserve">Aboriginal and/or Torres Strait Islander people – </w:t>
      </w:r>
      <w:r w:rsidR="00166208">
        <w:t xml:space="preserve">43% </w:t>
      </w:r>
    </w:p>
    <w:p w14:paraId="066E45FB" w14:textId="692AC351" w:rsidR="00166208" w:rsidRDefault="00262217" w:rsidP="00524584">
      <w:pPr>
        <w:pStyle w:val="Bulletpoint2"/>
      </w:pPr>
      <w:r>
        <w:t xml:space="preserve">temporary work visa holders – </w:t>
      </w:r>
      <w:r w:rsidR="00166208">
        <w:t xml:space="preserve">33% </w:t>
      </w:r>
    </w:p>
    <w:p w14:paraId="6A341027" w14:textId="2853DAA3" w:rsidR="00166208" w:rsidRDefault="00262217" w:rsidP="00524584">
      <w:pPr>
        <w:pStyle w:val="Bulletpoint2"/>
      </w:pPr>
      <w:r>
        <w:t xml:space="preserve">People who speak a language other than English at home – </w:t>
      </w:r>
      <w:r w:rsidR="00166208">
        <w:t xml:space="preserve">23% </w:t>
      </w:r>
    </w:p>
    <w:p w14:paraId="3A815E4E" w14:textId="33102332" w:rsidR="00166208" w:rsidRDefault="00262217" w:rsidP="00524584">
      <w:pPr>
        <w:pStyle w:val="Bulletpoint2"/>
      </w:pPr>
      <w:r>
        <w:t xml:space="preserve">LGBTIQ+ people – </w:t>
      </w:r>
      <w:r w:rsidR="00166208">
        <w:t>28%</w:t>
      </w:r>
    </w:p>
    <w:p w14:paraId="358D293E" w14:textId="77777777" w:rsidR="006249E0" w:rsidRDefault="00262217" w:rsidP="00524584">
      <w:pPr>
        <w:pStyle w:val="Bulletpoint2"/>
      </w:pPr>
      <w:r>
        <w:lastRenderedPageBreak/>
        <w:t xml:space="preserve">Carers – </w:t>
      </w:r>
      <w:r w:rsidR="00166208">
        <w:t xml:space="preserve">24% </w:t>
      </w:r>
    </w:p>
    <w:tbl>
      <w:tblPr>
        <w:tblStyle w:val="VEOHRCsimplegreenpale"/>
        <w:tblW w:w="0" w:type="auto"/>
        <w:tblLook w:val="0000" w:firstRow="0" w:lastRow="0" w:firstColumn="0" w:lastColumn="0" w:noHBand="0" w:noVBand="0"/>
      </w:tblPr>
      <w:tblGrid>
        <w:gridCol w:w="9060"/>
      </w:tblGrid>
      <w:tr w:rsidR="006249E0" w14:paraId="14DCE4F3" w14:textId="77777777" w:rsidTr="00207560">
        <w:tc>
          <w:tcPr>
            <w:tcW w:w="9070" w:type="dxa"/>
            <w:tcMar>
              <w:top w:w="227" w:type="dxa"/>
              <w:left w:w="227" w:type="dxa"/>
              <w:bottom w:w="227" w:type="dxa"/>
              <w:right w:w="227" w:type="dxa"/>
            </w:tcMar>
          </w:tcPr>
          <w:p w14:paraId="6A4E2462" w14:textId="77777777" w:rsidR="006249E0" w:rsidRPr="006249E0" w:rsidRDefault="006249E0" w:rsidP="006249E0">
            <w:pPr>
              <w:pStyle w:val="Tableboldtext"/>
            </w:pPr>
            <w:r w:rsidRPr="006249E0">
              <w:t>Supporting workers and employers to discuss flexible work</w:t>
            </w:r>
          </w:p>
          <w:p w14:paraId="52D6C66D" w14:textId="77777777" w:rsidR="006249E0" w:rsidRPr="006249E0" w:rsidRDefault="006249E0" w:rsidP="006249E0">
            <w:pPr>
              <w:pStyle w:val="Tabletext"/>
            </w:pPr>
            <w:r w:rsidRPr="006249E0">
              <w:t>The Commission has released a Flexible work request planner to support workers and employers to prepare for and consider requests for flexible work. The planner is an interactive chatbot, freely available on our website, which supports workers and managers to initiate</w:t>
            </w:r>
          </w:p>
          <w:p w14:paraId="148722FC" w14:textId="77777777" w:rsidR="006249E0" w:rsidRPr="006249E0" w:rsidRDefault="006249E0" w:rsidP="006249E0">
            <w:pPr>
              <w:pStyle w:val="Tabletext"/>
            </w:pPr>
            <w:r w:rsidRPr="006249E0">
              <w:t>a conversation about flexible work and create an effective plan. It includes a pathway for managers to check legal obligations, prompts to set up a successful conversation and downloadable planning tools. The Commission can also work with organisations to review policies and procedures and develop strategies to successfully embed flexible working arrangements across their workforce.</w:t>
            </w:r>
          </w:p>
          <w:p w14:paraId="3AD1920E" w14:textId="1F55D9CB" w:rsidR="006249E0" w:rsidRDefault="006249E0" w:rsidP="006249E0">
            <w:pPr>
              <w:pStyle w:val="Tabletext"/>
            </w:pPr>
            <w:r w:rsidRPr="006249E0">
              <w:t>Find the planner online at www.humanrights.vic.gov.au/resources/chat-about-flexible-work/</w:t>
            </w:r>
          </w:p>
        </w:tc>
      </w:tr>
    </w:tbl>
    <w:p w14:paraId="15DEF493" w14:textId="77777777" w:rsidR="00EC085D" w:rsidRPr="00EC085D" w:rsidRDefault="00EC085D" w:rsidP="00EC085D">
      <w:pPr>
        <w:pStyle w:val="Heading2nonumber"/>
      </w:pPr>
      <w:r w:rsidRPr="00EC085D">
        <w:t>What’s next?</w:t>
      </w:r>
    </w:p>
    <w:p w14:paraId="255962B4" w14:textId="77777777" w:rsidR="00EC085D" w:rsidRPr="00EC085D" w:rsidRDefault="00EC085D" w:rsidP="00EC085D">
      <w:pPr>
        <w:pStyle w:val="Bodytextnormal"/>
      </w:pPr>
      <w:r w:rsidRPr="00EC085D">
        <w:t>The COVID-19 pandemic has catapulted Victorian workplaces well into the future of flexible working arrangements. It has shown how many people thrive when they are afforded some flexibility in their working day and how quickly and successfully employers can establish workplace flexibility. Workplaces must learn from this experience and look at how they can embed flexible work as the ‘new normal’ going forward.</w:t>
      </w:r>
    </w:p>
    <w:p w14:paraId="4AF240F5" w14:textId="66F4445F" w:rsidR="00EC085D" w:rsidRPr="00EC085D" w:rsidRDefault="00EC085D" w:rsidP="00EC085D">
      <w:pPr>
        <w:pStyle w:val="Quote"/>
        <w:rPr>
          <w:rStyle w:val="Characteritalic"/>
        </w:rPr>
      </w:pPr>
      <w:r w:rsidRPr="00EC085D">
        <w:rPr>
          <w:rStyle w:val="Characteritalic"/>
        </w:rPr>
        <w:t xml:space="preserve">“The CEO of the company is the person I report to. He was fine [about me working flexibly]. Because the businesses were impacted so much it was just about getting the work done. </w:t>
      </w:r>
      <w:proofErr w:type="gramStart"/>
      <w:r w:rsidRPr="00EC085D">
        <w:rPr>
          <w:rStyle w:val="Characteritalic"/>
        </w:rPr>
        <w:t>As long as</w:t>
      </w:r>
      <w:proofErr w:type="gramEnd"/>
      <w:r w:rsidRPr="00EC085D">
        <w:rPr>
          <w:rStyle w:val="Characteritalic"/>
        </w:rPr>
        <w:t xml:space="preserve"> that happened, [working flexibly] was okay.”</w:t>
      </w:r>
    </w:p>
    <w:p w14:paraId="4A223335" w14:textId="0F072F3C" w:rsidR="00EC085D" w:rsidRPr="00EC085D" w:rsidRDefault="00EC085D" w:rsidP="00EC085D">
      <w:pPr>
        <w:pStyle w:val="Quote"/>
        <w:rPr>
          <w:rStyle w:val="Characteritalic"/>
        </w:rPr>
      </w:pPr>
      <w:r w:rsidRPr="00EC085D">
        <w:rPr>
          <w:rStyle w:val="Characteritalic"/>
        </w:rPr>
        <w:t>“If I could condense work to 3–4 days and have a day off that would be ideal. I’ll probably ask about it when things are back to normal. They’ll be likely to say yes; they’ve realised it’s a changing environment and a changing world.”</w:t>
      </w:r>
    </w:p>
    <w:p w14:paraId="1D135B89" w14:textId="77777777" w:rsidR="00EC085D" w:rsidRPr="00EC085D" w:rsidRDefault="00EC085D" w:rsidP="00EC085D">
      <w:pPr>
        <w:pStyle w:val="Bodytextnormal"/>
      </w:pPr>
      <w:r w:rsidRPr="00EC085D">
        <w:t>The Commission heard from one worker whose employer permitted her to work from home before the pandemic, but who chose not to because many people reported to her. She hadn’t previously considered the idea of condensing her working week, but the idea certainly appeals to her now.</w:t>
      </w:r>
    </w:p>
    <w:p w14:paraId="6C2BD7F0" w14:textId="6DF15BB0" w:rsidR="00EC085D" w:rsidRPr="00EC085D" w:rsidRDefault="00EC085D" w:rsidP="00EC085D">
      <w:pPr>
        <w:pStyle w:val="Bodytextnormal"/>
      </w:pPr>
      <w:r w:rsidRPr="00EC085D">
        <w:t>The Commission’s research points to a need for:</w:t>
      </w:r>
    </w:p>
    <w:p w14:paraId="754BFCEF" w14:textId="592F0C3F" w:rsidR="00EC085D" w:rsidRPr="00EC085D" w:rsidRDefault="00EC085D" w:rsidP="00EC085D">
      <w:pPr>
        <w:pStyle w:val="Numberedlist1"/>
      </w:pPr>
      <w:r w:rsidRPr="00EC085D">
        <w:t>greater education about flexible work arrangements, including workers’ entitlements</w:t>
      </w:r>
    </w:p>
    <w:p w14:paraId="6CA4F3FB" w14:textId="7904F321" w:rsidR="00EC085D" w:rsidRPr="00EC085D" w:rsidRDefault="00EC085D" w:rsidP="00EC085D">
      <w:pPr>
        <w:pStyle w:val="Numberedlist1"/>
      </w:pPr>
      <w:r w:rsidRPr="00EC085D">
        <w:t>greater support to help all employers to understand their legal obligations and how they adjust workplace practices to embed flexibility as part of business-as-usual</w:t>
      </w:r>
    </w:p>
    <w:p w14:paraId="1DF82564" w14:textId="63BB6AB7" w:rsidR="001B091B" w:rsidRPr="00441A3C" w:rsidRDefault="00EC085D" w:rsidP="001B091B">
      <w:pPr>
        <w:pStyle w:val="Numberedlist1"/>
      </w:pPr>
      <w:r w:rsidRPr="00EC085D">
        <w:t>workplace equality to be prioritised by the Victorian Government as part of its response to COVID-19 and recovery efforts.</w:t>
      </w:r>
    </w:p>
    <w:p w14:paraId="26AD26EE" w14:textId="77777777" w:rsidR="00207560" w:rsidRDefault="00207560">
      <w:pPr>
        <w:spacing w:before="0" w:after="160" w:line="259" w:lineRule="auto"/>
        <w:rPr>
          <w:b/>
          <w:color w:val="071C53" w:themeColor="text2"/>
          <w:sz w:val="44"/>
          <w:szCs w:val="22"/>
        </w:rPr>
      </w:pPr>
      <w:r>
        <w:br w:type="page"/>
      </w:r>
    </w:p>
    <w:p w14:paraId="1DEF6A93" w14:textId="2B13839F" w:rsidR="000D20CB" w:rsidRPr="000D20CB" w:rsidRDefault="000D20CB" w:rsidP="000D20CB">
      <w:pPr>
        <w:pStyle w:val="Heading2nonumber"/>
      </w:pPr>
      <w:r w:rsidRPr="000D20CB">
        <w:lastRenderedPageBreak/>
        <w:t>Further information</w:t>
      </w:r>
    </w:p>
    <w:p w14:paraId="0E37F83A" w14:textId="77777777" w:rsidR="009E2FEC" w:rsidRDefault="009E2FEC" w:rsidP="000D20CB">
      <w:pPr>
        <w:pStyle w:val="Bodytextnormal"/>
      </w:pPr>
      <w:r w:rsidRPr="009E2FEC">
        <w:t xml:space="preserve">For more on how the Commission is working to advance gender equality at work, visit our website </w:t>
      </w:r>
    </w:p>
    <w:p w14:paraId="77C0E89B" w14:textId="26BF2695" w:rsidR="000D20CB" w:rsidRPr="000D20CB" w:rsidRDefault="000D20CB" w:rsidP="000D20CB">
      <w:pPr>
        <w:pStyle w:val="Bodytextnormal"/>
      </w:pPr>
      <w:r w:rsidRPr="000D20CB">
        <w:t>For general enquiries or further information, call our Enquiry Line on 1300 292 153.</w:t>
      </w:r>
    </w:p>
    <w:p w14:paraId="5DEC3811" w14:textId="35CB94D9" w:rsidR="000D20CB" w:rsidRPr="000D20CB" w:rsidRDefault="000D20CB" w:rsidP="000D20CB">
      <w:pPr>
        <w:pStyle w:val="Bodytextnormal"/>
      </w:pPr>
      <w:r w:rsidRPr="000D20CB">
        <w:t>For media enquiries, contact Peter Davies on</w:t>
      </w:r>
      <w:r>
        <w:t xml:space="preserve"> </w:t>
      </w:r>
      <w:r w:rsidRPr="000D20CB">
        <w:t>0447 526 642 or at</w:t>
      </w:r>
      <w:r w:rsidR="001B091B">
        <w:t xml:space="preserve"> </w:t>
      </w:r>
      <w:r w:rsidRPr="000D20CB">
        <w:t>peter.davies@veohrc.vic.gov.au.</w:t>
      </w:r>
    </w:p>
    <w:p w14:paraId="7E0486D1" w14:textId="4A2FD2EB" w:rsidR="00902620" w:rsidRPr="00137BEC" w:rsidRDefault="000D20CB" w:rsidP="000D20CB">
      <w:pPr>
        <w:pStyle w:val="Bodytextnormal"/>
        <w:rPr>
          <w:rStyle w:val="Characterbold"/>
        </w:rPr>
      </w:pPr>
      <w:r w:rsidRPr="00137BEC">
        <w:rPr>
          <w:rStyle w:val="Characterbold"/>
        </w:rPr>
        <w:t>humanrights.vic.gov.au</w:t>
      </w:r>
      <w:r w:rsidR="00902620" w:rsidRPr="00137BEC">
        <w:rPr>
          <w:rStyle w:val="Characterbold"/>
        </w:rPr>
        <w:br w:type="page"/>
      </w:r>
    </w:p>
    <w:p w14:paraId="730F3EB0" w14:textId="77777777" w:rsidR="00A2703A" w:rsidRDefault="00A2703A" w:rsidP="000D20CB">
      <w:pPr>
        <w:pStyle w:val="Bodytextnormal"/>
      </w:pPr>
    </w:p>
    <w:p w14:paraId="17560FA1" w14:textId="77777777" w:rsidR="00440F34" w:rsidRDefault="00440F34" w:rsidP="00902620">
      <w:pPr>
        <w:pStyle w:val="Bodytextnormal"/>
      </w:pPr>
    </w:p>
    <w:p w14:paraId="24100178" w14:textId="77777777" w:rsidR="005F295B" w:rsidRPr="005F295B" w:rsidRDefault="005F295B" w:rsidP="001617DA">
      <w:pPr>
        <w:pStyle w:val="Heading4"/>
        <w:spacing w:before="10000"/>
      </w:pPr>
      <w:r w:rsidRPr="005F295B">
        <w:t>Contact us</w:t>
      </w:r>
    </w:p>
    <w:p w14:paraId="15152C24" w14:textId="77777777" w:rsidR="007D5D5F" w:rsidRPr="008511C4" w:rsidRDefault="005F295B" w:rsidP="001617DA">
      <w:pPr>
        <w:pStyle w:val="Bodytextnormal"/>
      </w:pPr>
      <w:r w:rsidRPr="005F295B">
        <w:t>Enquiry Line</w:t>
      </w:r>
      <w:r w:rsidRPr="005F295B">
        <w:tab/>
      </w:r>
      <w:r w:rsidRPr="005F295B">
        <w:tab/>
        <w:t>1300 292 153</w:t>
      </w:r>
      <w:r w:rsidR="00EE756E">
        <w:br/>
      </w:r>
      <w:r w:rsidRPr="005F295B">
        <w:t xml:space="preserve">Fax </w:t>
      </w:r>
      <w:r w:rsidRPr="005F295B">
        <w:tab/>
      </w:r>
      <w:r w:rsidRPr="005F295B">
        <w:tab/>
      </w:r>
      <w:r w:rsidRPr="005F295B">
        <w:tab/>
        <w:t>1300 891 858</w:t>
      </w:r>
      <w:r w:rsidR="00EE756E">
        <w:br/>
      </w:r>
      <w:r w:rsidRPr="005F295B">
        <w:t xml:space="preserve">NRS Voice Relay </w:t>
      </w:r>
      <w:r w:rsidRPr="005F295B">
        <w:tab/>
        <w:t>1300 555 727 then quote 1300 292 153</w:t>
      </w:r>
      <w:r w:rsidR="00EE756E">
        <w:br/>
      </w:r>
      <w:r w:rsidRPr="005F295B">
        <w:t xml:space="preserve">Interpreters </w:t>
      </w:r>
      <w:r w:rsidRPr="005F295B">
        <w:tab/>
      </w:r>
      <w:r w:rsidRPr="005F295B">
        <w:tab/>
        <w:t>1300 152 494</w:t>
      </w:r>
      <w:r w:rsidR="00EE756E">
        <w:br/>
      </w:r>
      <w:r w:rsidRPr="005F295B">
        <w:t xml:space="preserve">Email </w:t>
      </w:r>
      <w:r w:rsidRPr="005F295B">
        <w:tab/>
      </w:r>
      <w:r w:rsidRPr="005F295B">
        <w:tab/>
      </w:r>
      <w:r w:rsidRPr="005F295B">
        <w:tab/>
      </w:r>
      <w:hyperlink r:id="rId17" w:history="1">
        <w:r w:rsidR="00EE756E" w:rsidRPr="003A1580">
          <w:t>enquiries@veohrc.vic.gov.au</w:t>
        </w:r>
      </w:hyperlink>
      <w:r w:rsidR="00EE756E">
        <w:br/>
      </w:r>
      <w:r w:rsidRPr="005F295B">
        <w:t xml:space="preserve">Follow us on Twitter </w:t>
      </w:r>
      <w:r w:rsidRPr="005F295B">
        <w:tab/>
        <w:t xml:space="preserve">twitter.com/VEOHRC </w:t>
      </w:r>
      <w:r w:rsidR="00EE756E">
        <w:br/>
      </w:r>
      <w:r w:rsidRPr="005F295B">
        <w:t>Find us on Facebook</w:t>
      </w:r>
      <w:r w:rsidRPr="005F295B">
        <w:tab/>
        <w:t xml:space="preserve">facebook.com/VEOHRC </w:t>
      </w:r>
      <w:r w:rsidR="00434CB4">
        <w:rPr>
          <w:noProof/>
          <w:color w:val="A80000"/>
        </w:rPr>
        <w:drawing>
          <wp:anchor distT="0" distB="0" distL="114300" distR="114300" simplePos="0" relativeHeight="251659264" behindDoc="1" locked="0" layoutInCell="1" allowOverlap="1" wp14:anchorId="27E935B4" wp14:editId="38BDF7FC">
            <wp:simplePos x="0" y="0"/>
            <wp:positionH relativeFrom="page">
              <wp:posOffset>0</wp:posOffset>
            </wp:positionH>
            <wp:positionV relativeFrom="page">
              <wp:posOffset>0</wp:posOffset>
            </wp:positionV>
            <wp:extent cx="7578000" cy="10717200"/>
            <wp:effectExtent l="0" t="0" r="444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p>
    <w:sectPr w:rsidR="007D5D5F" w:rsidRPr="008511C4" w:rsidSect="005F5151">
      <w:headerReference w:type="even" r:id="rId19"/>
      <w:headerReference w:type="default" r:id="rId20"/>
      <w:footerReference w:type="even"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D90B7" w14:textId="77777777" w:rsidR="00164F4F" w:rsidRDefault="00164F4F" w:rsidP="00E7091A">
      <w:pPr>
        <w:spacing w:after="0"/>
      </w:pPr>
      <w:r>
        <w:separator/>
      </w:r>
    </w:p>
  </w:endnote>
  <w:endnote w:type="continuationSeparator" w:id="0">
    <w:p w14:paraId="1AC6F28D" w14:textId="77777777" w:rsidR="00164F4F" w:rsidRDefault="00164F4F" w:rsidP="00E70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F571" w14:textId="77777777" w:rsidR="006B7D35" w:rsidRDefault="00053A11">
    <w:pPr>
      <w:pStyle w:val="Footer"/>
    </w:pPr>
    <w:r>
      <w:rPr>
        <w:noProof/>
      </w:rPr>
      <mc:AlternateContent>
        <mc:Choice Requires="wps">
          <w:drawing>
            <wp:anchor distT="0" distB="0" distL="114300" distR="114300" simplePos="0" relativeHeight="251682559" behindDoc="0" locked="0" layoutInCell="0" allowOverlap="1" wp14:anchorId="1C44F35A" wp14:editId="1C388E2D">
              <wp:simplePos x="0" y="0"/>
              <wp:positionH relativeFrom="page">
                <wp:posOffset>0</wp:posOffset>
              </wp:positionH>
              <wp:positionV relativeFrom="page">
                <wp:posOffset>10234930</wp:posOffset>
              </wp:positionV>
              <wp:extent cx="7560310" cy="266700"/>
              <wp:effectExtent l="0" t="0" r="0" b="0"/>
              <wp:wrapNone/>
              <wp:docPr id="8" name="MSIPCM852b4c458ceb46562d21406c" descr="{&quot;HashCode&quot;:200217573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CD2C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44F35A" id="_x0000_t202" coordsize="21600,21600" o:spt="202" path="m,l,21600r21600,l21600,xe">
              <v:stroke joinstyle="miter"/>
              <v:path gradientshapeok="t" o:connecttype="rect"/>
            </v:shapetype>
            <v:shape id="MSIPCM852b4c458ceb46562d21406c" o:spid="_x0000_s1028" type="#_x0000_t202" alt="{&quot;HashCode&quot;:2002175737,&quot;Height&quot;:841.0,&quot;Width&quot;:595.0,&quot;Placement&quot;:&quot;Footer&quot;,&quot;Index&quot;:&quot;OddAndEven&quot;,&quot;Section&quot;:1,&quot;Top&quot;:0.0,&quot;Left&quot;:0.0}" style="position:absolute;margin-left:0;margin-top:805.9pt;width:595.3pt;height:21pt;z-index:2516825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DcllJizAgAAUAUA&#10;AA4AAAAAAAAAAAAAAAAALgIAAGRycy9lMm9Eb2MueG1sUEsBAi0AFAAGAAgAAAAhAIOyjyvfAAAA&#10;CwEAAA8AAAAAAAAAAAAAAAAADQUAAGRycy9kb3ducmV2LnhtbFBLBQYAAAAABAAEAPMAAAAZBgAA&#10;AAA=&#10;" o:allowincell="f" filled="f" stroked="f" strokeweight=".5pt">
              <v:textbox inset=",0,,0">
                <w:txbxContent>
                  <w:p w14:paraId="2BDCD2C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503E" w14:textId="77777777" w:rsidR="006B7D35" w:rsidRDefault="00053A11">
    <w:pPr>
      <w:pStyle w:val="Footer"/>
    </w:pPr>
    <w:r>
      <w:rPr>
        <w:noProof/>
      </w:rPr>
      <mc:AlternateContent>
        <mc:Choice Requires="wps">
          <w:drawing>
            <wp:anchor distT="0" distB="0" distL="114300" distR="114300" simplePos="0" relativeHeight="251682303" behindDoc="0" locked="0" layoutInCell="0" allowOverlap="1" wp14:anchorId="40B31CF4" wp14:editId="326A96DB">
              <wp:simplePos x="0" y="0"/>
              <wp:positionH relativeFrom="page">
                <wp:posOffset>0</wp:posOffset>
              </wp:positionH>
              <wp:positionV relativeFrom="page">
                <wp:posOffset>10234930</wp:posOffset>
              </wp:positionV>
              <wp:extent cx="7560310" cy="266700"/>
              <wp:effectExtent l="0" t="0" r="0" b="0"/>
              <wp:wrapNone/>
              <wp:docPr id="7" name="MSIPCM623d4312bf7bcf4816231950" descr="{&quot;HashCode&quot;:20021757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AA9B0"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B31CF4" id="_x0000_t202" coordsize="21600,21600" o:spt="202" path="m,l,21600r21600,l21600,xe">
              <v:stroke joinstyle="miter"/>
              <v:path gradientshapeok="t" o:connecttype="rect"/>
            </v:shapetype>
            <v:shape id="MSIPCM623d4312bf7bcf4816231950" o:spid="_x0000_s1029" type="#_x0000_t202" alt="{&quot;HashCode&quot;:2002175737,&quot;Height&quot;:841.0,&quot;Width&quot;:595.0,&quot;Placement&quot;:&quot;Footer&quot;,&quot;Index&quot;:&quot;Primary&quot;,&quot;Section&quot;:1,&quot;Top&quot;:0.0,&quot;Left&quot;:0.0}" style="position:absolute;margin-left:0;margin-top:805.9pt;width:595.3pt;height:21pt;z-index:2516823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69fAH68CAABNBQAADgAA&#10;AAAAAAAAAAAAAAAuAgAAZHJzL2Uyb0RvYy54bWxQSwECLQAUAAYACAAAACEAg7KPK98AAAALAQAA&#10;DwAAAAAAAAAAAAAAAAAJBQAAZHJzL2Rvd25yZXYueG1sUEsFBgAAAAAEAAQA8wAAABUGAAAAAA==&#10;" o:allowincell="f" filled="f" stroked="f" strokeweight=".5pt">
              <v:textbox inset=",0,,0">
                <w:txbxContent>
                  <w:p w14:paraId="4D7AA9B0"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581BF" w14:textId="77777777" w:rsidR="00257114" w:rsidRDefault="00257114">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2119" w14:textId="2301DAAC"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00CF726F" w:rsidRPr="00CF726F">
      <w:t xml:space="preserve">Survey Snapshot </w:t>
    </w:r>
    <w:r w:rsidR="00855C63">
      <w:t>1</w:t>
    </w:r>
    <w:r w:rsidR="00CF726F" w:rsidRPr="00CF726F">
      <w:t xml:space="preserve"> – </w:t>
    </w:r>
    <w:r w:rsidR="008F6819" w:rsidRPr="008F6819">
      <w:t>Rebuilding flexible workplaces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7394" w14:textId="59A1B704" w:rsidR="005212E1" w:rsidRPr="00053A11" w:rsidRDefault="001636C9" w:rsidP="00B071EE">
    <w:pPr>
      <w:pStyle w:val="Footerdetails"/>
      <w:tabs>
        <w:tab w:val="right" w:pos="9070"/>
      </w:tabs>
    </w:pPr>
    <w:r w:rsidRPr="00CF726F">
      <w:t xml:space="preserve">Survey Snapshot </w:t>
    </w:r>
    <w:r w:rsidR="00EE7A9A">
      <w:t>1</w:t>
    </w:r>
    <w:r w:rsidRPr="00CF726F">
      <w:t xml:space="preserve"> – </w:t>
    </w:r>
    <w:r w:rsidR="00EE7A9A" w:rsidRPr="00EE7A9A">
      <w:t>Rebuilding flexible workplaces</w:t>
    </w:r>
    <w:r w:rsidR="005212E1">
      <w:tab/>
    </w:r>
    <w:r w:rsidR="005212E1" w:rsidRPr="00EB4CBE">
      <w:rPr>
        <w:rStyle w:val="PageNumber"/>
      </w:rPr>
      <w:fldChar w:fldCharType="begin"/>
    </w:r>
    <w:r w:rsidR="005212E1" w:rsidRPr="00EB4CBE">
      <w:rPr>
        <w:rStyle w:val="PageNumber"/>
      </w:rPr>
      <w:instrText xml:space="preserve"> PAGE   \* MERGEFORMAT </w:instrText>
    </w:r>
    <w:r w:rsidR="005212E1" w:rsidRPr="00EB4CBE">
      <w:rPr>
        <w:rStyle w:val="PageNumber"/>
      </w:rPr>
      <w:fldChar w:fldCharType="separate"/>
    </w:r>
    <w:r w:rsidR="005212E1">
      <w:rPr>
        <w:rStyle w:val="PageNumber"/>
      </w:rPr>
      <w:t>3</w:t>
    </w:r>
    <w:r w:rsidR="005212E1" w:rsidRPr="00EB4C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CCA60" w14:textId="77777777" w:rsidR="00164F4F" w:rsidRDefault="00164F4F" w:rsidP="00E7091A">
      <w:pPr>
        <w:spacing w:after="0"/>
      </w:pPr>
      <w:r>
        <w:separator/>
      </w:r>
    </w:p>
  </w:footnote>
  <w:footnote w:type="continuationSeparator" w:id="0">
    <w:p w14:paraId="1808779C" w14:textId="77777777" w:rsidR="00164F4F" w:rsidRDefault="00164F4F" w:rsidP="00E709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FE21" w14:textId="77777777" w:rsidR="006B7D35" w:rsidRDefault="00053A11">
    <w:pPr>
      <w:pStyle w:val="Header"/>
    </w:pPr>
    <w:r>
      <w:rPr>
        <w:noProof/>
      </w:rPr>
      <mc:AlternateContent>
        <mc:Choice Requires="wps">
          <w:drawing>
            <wp:anchor distT="0" distB="0" distL="114300" distR="114300" simplePos="0" relativeHeight="251678463" behindDoc="0" locked="0" layoutInCell="0" allowOverlap="1" wp14:anchorId="1C52B3E0" wp14:editId="2BCB63D4">
              <wp:simplePos x="0" y="0"/>
              <wp:positionH relativeFrom="page">
                <wp:posOffset>0</wp:posOffset>
              </wp:positionH>
              <wp:positionV relativeFrom="page">
                <wp:posOffset>190500</wp:posOffset>
              </wp:positionV>
              <wp:extent cx="7560310" cy="266700"/>
              <wp:effectExtent l="0" t="0" r="0" b="0"/>
              <wp:wrapNone/>
              <wp:docPr id="4" name="MSIPCM989046cb90336c9783571bc8" descr="{&quot;HashCode&quot;:197803816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447CB"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52B3E0" id="_x0000_t202" coordsize="21600,21600" o:spt="202" path="m,l,21600r21600,l21600,xe">
              <v:stroke joinstyle="miter"/>
              <v:path gradientshapeok="t" o:connecttype="rect"/>
            </v:shapetype>
            <v:shape id="MSIPCM989046cb90336c9783571bc8" o:spid="_x0000_s1026" type="#_x0000_t202" alt="{&quot;HashCode&quot;:1978038168,&quot;Height&quot;:841.0,&quot;Width&quot;:595.0,&quot;Placement&quot;:&quot;Header&quot;,&quot;Index&quot;:&quot;OddAndEven&quot;,&quot;Section&quot;:1,&quot;Top&quot;:0.0,&quot;Left&quot;:0.0}" style="position:absolute;margin-left:0;margin-top:15pt;width:595.3pt;height:21pt;z-index:251678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" o:allowincell="f" filled="f" stroked="f" strokeweight=".5pt">
              <v:textbox inset=",0,,0">
                <w:txbxContent>
                  <w:p w14:paraId="42A447CB"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C079" w14:textId="77777777" w:rsidR="00257114" w:rsidRPr="00C26B6C" w:rsidRDefault="009E4608">
    <w:pPr>
      <w:spacing w:after="0"/>
      <w:rPr>
        <w:color w:val="A80000"/>
      </w:rPr>
    </w:pPr>
    <w:r>
      <w:rPr>
        <w:noProof/>
        <w:color w:val="A80000"/>
      </w:rPr>
      <w:drawing>
        <wp:anchor distT="0" distB="0" distL="114300" distR="114300" simplePos="0" relativeHeight="251685888" behindDoc="1" locked="0" layoutInCell="1" allowOverlap="1" wp14:anchorId="34C1927C" wp14:editId="011D6A0E">
          <wp:simplePos x="0" y="0"/>
          <wp:positionH relativeFrom="column">
            <wp:posOffset>-900430</wp:posOffset>
          </wp:positionH>
          <wp:positionV relativeFrom="paragraph">
            <wp:posOffset>-468467</wp:posOffset>
          </wp:positionV>
          <wp:extent cx="7578000" cy="10719204"/>
          <wp:effectExtent l="0" t="0" r="444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page">
            <wp14:pctWidth>0</wp14:pctWidth>
          </wp14:sizeRelH>
          <wp14:sizeRelV relativeFrom="page">
            <wp14:pctHeight>0</wp14:pctHeight>
          </wp14:sizeRelV>
        </wp:anchor>
      </w:drawing>
    </w:r>
    <w:r w:rsidR="00053A11">
      <w:rPr>
        <w:noProof/>
        <w:color w:val="A80000"/>
      </w:rPr>
      <mc:AlternateContent>
        <mc:Choice Requires="wps">
          <w:drawing>
            <wp:anchor distT="0" distB="0" distL="114300" distR="114300" simplePos="0" relativeHeight="251678207" behindDoc="0" locked="0" layoutInCell="0" allowOverlap="1" wp14:anchorId="607A47BE" wp14:editId="4E1F27C1">
              <wp:simplePos x="0" y="0"/>
              <wp:positionH relativeFrom="page">
                <wp:posOffset>0</wp:posOffset>
              </wp:positionH>
              <wp:positionV relativeFrom="page">
                <wp:posOffset>190500</wp:posOffset>
              </wp:positionV>
              <wp:extent cx="7560310" cy="266700"/>
              <wp:effectExtent l="0" t="0" r="0" b="0"/>
              <wp:wrapNone/>
              <wp:docPr id="3"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64DE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7A47BE" id="_x0000_t202" coordsize="21600,21600" o:spt="202" path="m,l,21600r21600,l21600,xe">
              <v:stroke joinstyle="miter"/>
              <v:path gradientshapeok="t" o:connecttype="rect"/>
            </v:shapetype>
            <v:shape id="MSIPCM7f1b48228b75223c64c35259" o:spid="_x0000_s1027" type="#_x0000_t202" alt="{&quot;HashCode&quot;:1978038168,&quot;Height&quot;:841.0,&quot;Width&quot;:595.0,&quot;Placement&quot;:&quot;Header&quot;,&quot;Index&quot;:&quot;Primary&quot;,&quot;Section&quot;:1,&quot;Top&quot;:0.0,&quot;Left&quot;:0.0}" style="position:absolute;margin-left:0;margin-top:15pt;width:595.3pt;height:21pt;z-index:2516782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K3SQHq8CAABNBQAADgAAAAAA&#10;AAAAAAAAAAAuAgAAZHJzL2Uyb0RvYy54bWxQSwECLQAUAAYACAAAACEADRlug9wAAAAHAQAADwAA&#10;AAAAAAAAAAAAAAAJBQAAZHJzL2Rvd25yZXYueG1sUEsFBgAAAAAEAAQA8wAAABIGAAAAAA==&#10;" o:allowincell="f" filled="f" stroked="f" strokeweight=".5pt">
              <v:textbox inset=",0,,0">
                <w:txbxContent>
                  <w:p w14:paraId="78F64DE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95F0" w14:textId="77777777" w:rsidR="00257114" w:rsidRDefault="00257114">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7B3A" w14:textId="77777777" w:rsidR="005212E1" w:rsidRPr="003C4368" w:rsidRDefault="005212E1" w:rsidP="003C4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F3E8" w14:textId="77777777" w:rsidR="005212E1" w:rsidRPr="00C26B6C" w:rsidRDefault="005212E1">
    <w:pPr>
      <w:spacing w:after="0"/>
      <w:rPr>
        <w:color w:val="A80000"/>
      </w:rPr>
    </w:pPr>
    <w:r>
      <w:rPr>
        <w:noProof/>
        <w:color w:val="A80000"/>
      </w:rPr>
      <mc:AlternateContent>
        <mc:Choice Requires="wps">
          <w:drawing>
            <wp:anchor distT="0" distB="0" distL="114300" distR="114300" simplePos="0" relativeHeight="251693056" behindDoc="0" locked="0" layoutInCell="0" allowOverlap="1" wp14:anchorId="73B0D503" wp14:editId="61E8DB09">
              <wp:simplePos x="0" y="0"/>
              <wp:positionH relativeFrom="page">
                <wp:posOffset>0</wp:posOffset>
              </wp:positionH>
              <wp:positionV relativeFrom="page">
                <wp:posOffset>190500</wp:posOffset>
              </wp:positionV>
              <wp:extent cx="7560310" cy="266700"/>
              <wp:effectExtent l="0" t="0" r="0" b="0"/>
              <wp:wrapNone/>
              <wp:docPr id="16"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AF0A8" w14:textId="77777777" w:rsidR="005212E1" w:rsidRPr="003C4368" w:rsidRDefault="005212E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0D503" id="_x0000_t202" coordsize="21600,21600" o:spt="202" path="m,l,21600r21600,l21600,xe">
              <v:stroke joinstyle="miter"/>
              <v:path gradientshapeok="t" o:connecttype="rect"/>
            </v:shapetype>
            <v:shape id="_x0000_s1030" type="#_x0000_t202" alt="{&quot;HashCode&quot;:1978038168,&quot;Height&quot;:841.0,&quot;Width&quot;:595.0,&quot;Placement&quot;:&quot;Header&quot;,&quot;Index&quot;:&quot;Primary&quot;,&quot;Section&quot;:1,&quot;Top&quot;:0.0,&quot;Left&quot;:0.0}" style="position:absolute;margin-left:0;margin-top:15pt;width:595.3pt;height:21pt;z-index:251693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" o:allowincell="f" filled="f" stroked="f" strokeweight=".5pt">
              <v:textbox inset=",0,,0">
                <w:txbxContent>
                  <w:p w14:paraId="73AAF0A8" w14:textId="77777777" w:rsidR="005212E1" w:rsidRPr="003C4368" w:rsidRDefault="005212E1" w:rsidP="003C4368">
                    <w:pPr>
                      <w:spacing w:after="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2" w15:restartNumberingAfterBreak="0">
    <w:nsid w:val="06A52ADD"/>
    <w:multiLevelType w:val="multilevel"/>
    <w:tmpl w:val="050ACB96"/>
    <w:lvl w:ilvl="0">
      <w:start w:val="1"/>
      <w:numFmt w:val="upperLetter"/>
      <w:suff w:val="space"/>
      <w:lvlText w:val="Appendix %1"/>
      <w:lvlJc w:val="left"/>
      <w:pPr>
        <w:ind w:left="3119"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61493"/>
    <w:multiLevelType w:val="multilevel"/>
    <w:tmpl w:val="903CE314"/>
    <w:lvl w:ilvl="0">
      <w:start w:val="1"/>
      <w:numFmt w:val="decimal"/>
      <w:pStyle w:val="Tablenumberedlist1"/>
      <w:lvlText w:val="%1."/>
      <w:lvlJc w:val="left"/>
      <w:pPr>
        <w:tabs>
          <w:tab w:val="num" w:pos="454"/>
        </w:tabs>
        <w:ind w:left="0" w:firstLine="0"/>
      </w:pPr>
      <w:rPr>
        <w:rFonts w:hint="default"/>
        <w:color w:val="auto"/>
      </w:rPr>
    </w:lvl>
    <w:lvl w:ilvl="1">
      <w:start w:val="1"/>
      <w:numFmt w:val="lowerLetter"/>
      <w:pStyle w:val="Tablenumberedlist2"/>
      <w:lvlText w:val="%2)"/>
      <w:lvlJc w:val="left"/>
      <w:pPr>
        <w:tabs>
          <w:tab w:val="num" w:pos="907"/>
        </w:tabs>
        <w:ind w:left="90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944D24"/>
    <w:multiLevelType w:val="multilevel"/>
    <w:tmpl w:val="1CB4A7DE"/>
    <w:lvl w:ilvl="0">
      <w:start w:val="1"/>
      <w:numFmt w:val="decimal"/>
      <w:lvlText w:val="%1"/>
      <w:lvlJc w:val="left"/>
      <w:pPr>
        <w:tabs>
          <w:tab w:val="num" w:pos="851"/>
        </w:tabs>
        <w:ind w:left="0" w:firstLine="0"/>
      </w:pPr>
      <w:rPr>
        <w:rFonts w:ascii="Arial" w:hAnsi="Arial" w:hint="default"/>
        <w:b/>
        <w:i w:val="0"/>
        <w:color w:val="071C53" w:themeColor="text2"/>
        <w:sz w:val="60"/>
        <w:u w:val="none"/>
      </w:rPr>
    </w:lvl>
    <w:lvl w:ilvl="1">
      <w:start w:val="1"/>
      <w:numFmt w:val="decimal"/>
      <w:lvlText w:val="%1.%2"/>
      <w:lvlJc w:val="left"/>
      <w:pPr>
        <w:tabs>
          <w:tab w:val="num" w:pos="851"/>
        </w:tabs>
        <w:ind w:left="0" w:firstLine="0"/>
      </w:pPr>
      <w:rPr>
        <w:rFonts w:ascii="Arial" w:hAnsi="Arial" w:hint="default"/>
        <w:b/>
        <w:i w:val="0"/>
        <w:color w:val="071C53" w:themeColor="text2"/>
        <w:sz w:val="44"/>
      </w:rPr>
    </w:lvl>
    <w:lvl w:ilvl="2">
      <w:start w:val="1"/>
      <w:numFmt w:val="upperLetter"/>
      <w:lvlRestart w:val="1"/>
      <w:suff w:val="space"/>
      <w:lvlText w:val="Figure %1%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0B25C3"/>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A44F4E"/>
    <w:multiLevelType w:val="multilevel"/>
    <w:tmpl w:val="7CBCB712"/>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0"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3340E9"/>
    <w:multiLevelType w:val="hybridMultilevel"/>
    <w:tmpl w:val="E2686DF6"/>
    <w:lvl w:ilvl="0" w:tplc="1916B670">
      <w:numFmt w:val="bullet"/>
      <w:lvlText w:val="•"/>
      <w:lvlJc w:val="left"/>
      <w:pPr>
        <w:ind w:left="396" w:hanging="171"/>
      </w:pPr>
      <w:rPr>
        <w:rFonts w:ascii="Arial" w:eastAsia="Arial" w:hAnsi="Arial" w:cs="Arial" w:hint="default"/>
        <w:b w:val="0"/>
        <w:bCs w:val="0"/>
        <w:i w:val="0"/>
        <w:iCs w:val="0"/>
        <w:color w:val="231F20"/>
        <w:w w:val="94"/>
        <w:sz w:val="22"/>
        <w:szCs w:val="22"/>
        <w:lang w:val="en-US" w:eastAsia="en-US" w:bidi="ar-SA"/>
      </w:rPr>
    </w:lvl>
    <w:lvl w:ilvl="1" w:tplc="6170622C">
      <w:numFmt w:val="bullet"/>
      <w:lvlText w:val="•"/>
      <w:lvlJc w:val="left"/>
      <w:pPr>
        <w:ind w:left="649" w:hanging="171"/>
      </w:pPr>
      <w:rPr>
        <w:rFonts w:hint="default"/>
        <w:lang w:val="en-US" w:eastAsia="en-US" w:bidi="ar-SA"/>
      </w:rPr>
    </w:lvl>
    <w:lvl w:ilvl="2" w:tplc="9C226DAE">
      <w:numFmt w:val="bullet"/>
      <w:lvlText w:val="•"/>
      <w:lvlJc w:val="left"/>
      <w:pPr>
        <w:ind w:left="898" w:hanging="171"/>
      </w:pPr>
      <w:rPr>
        <w:rFonts w:hint="default"/>
        <w:lang w:val="en-US" w:eastAsia="en-US" w:bidi="ar-SA"/>
      </w:rPr>
    </w:lvl>
    <w:lvl w:ilvl="3" w:tplc="04104B44">
      <w:numFmt w:val="bullet"/>
      <w:lvlText w:val="•"/>
      <w:lvlJc w:val="left"/>
      <w:pPr>
        <w:ind w:left="1147" w:hanging="171"/>
      </w:pPr>
      <w:rPr>
        <w:rFonts w:hint="default"/>
        <w:lang w:val="en-US" w:eastAsia="en-US" w:bidi="ar-SA"/>
      </w:rPr>
    </w:lvl>
    <w:lvl w:ilvl="4" w:tplc="DDA479E2">
      <w:numFmt w:val="bullet"/>
      <w:lvlText w:val="•"/>
      <w:lvlJc w:val="left"/>
      <w:pPr>
        <w:ind w:left="1396" w:hanging="171"/>
      </w:pPr>
      <w:rPr>
        <w:rFonts w:hint="default"/>
        <w:lang w:val="en-US" w:eastAsia="en-US" w:bidi="ar-SA"/>
      </w:rPr>
    </w:lvl>
    <w:lvl w:ilvl="5" w:tplc="64B02F9E">
      <w:numFmt w:val="bullet"/>
      <w:lvlText w:val="•"/>
      <w:lvlJc w:val="left"/>
      <w:pPr>
        <w:ind w:left="1645" w:hanging="171"/>
      </w:pPr>
      <w:rPr>
        <w:rFonts w:hint="default"/>
        <w:lang w:val="en-US" w:eastAsia="en-US" w:bidi="ar-SA"/>
      </w:rPr>
    </w:lvl>
    <w:lvl w:ilvl="6" w:tplc="3AF88418">
      <w:numFmt w:val="bullet"/>
      <w:lvlText w:val="•"/>
      <w:lvlJc w:val="left"/>
      <w:pPr>
        <w:ind w:left="1894" w:hanging="171"/>
      </w:pPr>
      <w:rPr>
        <w:rFonts w:hint="default"/>
        <w:lang w:val="en-US" w:eastAsia="en-US" w:bidi="ar-SA"/>
      </w:rPr>
    </w:lvl>
    <w:lvl w:ilvl="7" w:tplc="EFDE981A">
      <w:numFmt w:val="bullet"/>
      <w:lvlText w:val="•"/>
      <w:lvlJc w:val="left"/>
      <w:pPr>
        <w:ind w:left="2143" w:hanging="171"/>
      </w:pPr>
      <w:rPr>
        <w:rFonts w:hint="default"/>
        <w:lang w:val="en-US" w:eastAsia="en-US" w:bidi="ar-SA"/>
      </w:rPr>
    </w:lvl>
    <w:lvl w:ilvl="8" w:tplc="81AC0BAA">
      <w:numFmt w:val="bullet"/>
      <w:lvlText w:val="•"/>
      <w:lvlJc w:val="left"/>
      <w:pPr>
        <w:ind w:left="2393" w:hanging="171"/>
      </w:pPr>
      <w:rPr>
        <w:rFonts w:hint="default"/>
        <w:lang w:val="en-US" w:eastAsia="en-US" w:bidi="ar-SA"/>
      </w:rPr>
    </w:lvl>
  </w:abstractNum>
  <w:abstractNum w:abstractNumId="9" w15:restartNumberingAfterBreak="0">
    <w:nsid w:val="3B8D5A94"/>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434F02C2"/>
    <w:multiLevelType w:val="multilevel"/>
    <w:tmpl w:val="A81CD1AE"/>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346B66"/>
    <w:multiLevelType w:val="hybridMultilevel"/>
    <w:tmpl w:val="4DD44802"/>
    <w:lvl w:ilvl="0" w:tplc="1DD83410">
      <w:start w:val="1"/>
      <w:numFmt w:val="bullet"/>
      <w:pStyle w:val="Bulletpoint1"/>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BA60A6"/>
    <w:multiLevelType w:val="multilevel"/>
    <w:tmpl w:val="1D1885A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81E8D"/>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68113C"/>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0626C2"/>
    <w:multiLevelType w:val="multilevel"/>
    <w:tmpl w:val="C494E1E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C43FD4"/>
    <w:multiLevelType w:val="hybridMultilevel"/>
    <w:tmpl w:val="A4E2D9DE"/>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10"/>
  </w:num>
  <w:num w:numId="5">
    <w:abstractNumId w:val="13"/>
  </w:num>
  <w:num w:numId="6">
    <w:abstractNumId w:val="6"/>
  </w:num>
  <w:num w:numId="7">
    <w:abstractNumId w:val="19"/>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3"/>
  </w:num>
  <w:num w:numId="16">
    <w:abstractNumId w:val="10"/>
    <w:lvlOverride w:ilvl="0">
      <w:startOverride w:val="1"/>
    </w:lvlOverride>
  </w:num>
  <w:num w:numId="17">
    <w:abstractNumId w:val="2"/>
  </w:num>
  <w:num w:numId="18">
    <w:abstractNumId w:val="12"/>
  </w:num>
  <w:num w:numId="19">
    <w:abstractNumId w:val="11"/>
  </w:num>
  <w:num w:numId="20">
    <w:abstractNumId w:val="20"/>
  </w:num>
  <w:num w:numId="21">
    <w:abstractNumId w:val="5"/>
  </w:num>
  <w:num w:numId="22">
    <w:abstractNumId w:val="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Calibri" w:hAnsi="Calibri"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Calibri" w:hAnsi="Calibri"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Calibri" w:hAnsi="Calibri"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0"/>
  </w:num>
  <w:num w:numId="29">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accent1"/>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0">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2">
    <w:abstractNumId w:val="1"/>
  </w:num>
  <w:num w:numId="33">
    <w:abstractNumId w:val="1"/>
    <w:lvlOverride w:ilvl="0">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documentProtection w:formatting="1" w:enforcement="0"/>
  <w:styleLockQFSet/>
  <w:defaultTabStop w:val="720"/>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581F01"/>
    <w:rsid w:val="00001BB0"/>
    <w:rsid w:val="0001026F"/>
    <w:rsid w:val="000134B0"/>
    <w:rsid w:val="0001447E"/>
    <w:rsid w:val="00014C9E"/>
    <w:rsid w:val="00026A82"/>
    <w:rsid w:val="000273AD"/>
    <w:rsid w:val="00031679"/>
    <w:rsid w:val="0004088F"/>
    <w:rsid w:val="00042C4E"/>
    <w:rsid w:val="00044D1B"/>
    <w:rsid w:val="00046B96"/>
    <w:rsid w:val="000523E5"/>
    <w:rsid w:val="00053A11"/>
    <w:rsid w:val="00053EA5"/>
    <w:rsid w:val="00055875"/>
    <w:rsid w:val="00060FF4"/>
    <w:rsid w:val="00061BAD"/>
    <w:rsid w:val="00062113"/>
    <w:rsid w:val="00062D7C"/>
    <w:rsid w:val="00070736"/>
    <w:rsid w:val="000721A3"/>
    <w:rsid w:val="000810C5"/>
    <w:rsid w:val="000829BB"/>
    <w:rsid w:val="00084E94"/>
    <w:rsid w:val="0009427C"/>
    <w:rsid w:val="000A2F92"/>
    <w:rsid w:val="000A4A06"/>
    <w:rsid w:val="000A7537"/>
    <w:rsid w:val="000B010A"/>
    <w:rsid w:val="000B54C2"/>
    <w:rsid w:val="000C1D61"/>
    <w:rsid w:val="000C25CC"/>
    <w:rsid w:val="000C5B48"/>
    <w:rsid w:val="000D20CB"/>
    <w:rsid w:val="000D6F70"/>
    <w:rsid w:val="000D7928"/>
    <w:rsid w:val="000F205A"/>
    <w:rsid w:val="000F43DD"/>
    <w:rsid w:val="001014B9"/>
    <w:rsid w:val="0012361E"/>
    <w:rsid w:val="0013126F"/>
    <w:rsid w:val="00137BEC"/>
    <w:rsid w:val="00145149"/>
    <w:rsid w:val="00147A00"/>
    <w:rsid w:val="001509A2"/>
    <w:rsid w:val="00152F03"/>
    <w:rsid w:val="00153BC0"/>
    <w:rsid w:val="00154C8A"/>
    <w:rsid w:val="001617DA"/>
    <w:rsid w:val="001636C9"/>
    <w:rsid w:val="00164F4F"/>
    <w:rsid w:val="00166208"/>
    <w:rsid w:val="00172FA9"/>
    <w:rsid w:val="0017374A"/>
    <w:rsid w:val="001743E4"/>
    <w:rsid w:val="001776C3"/>
    <w:rsid w:val="001802C0"/>
    <w:rsid w:val="001818D0"/>
    <w:rsid w:val="00182877"/>
    <w:rsid w:val="001859D0"/>
    <w:rsid w:val="00186B93"/>
    <w:rsid w:val="001A06ED"/>
    <w:rsid w:val="001A0D46"/>
    <w:rsid w:val="001B091B"/>
    <w:rsid w:val="001B3659"/>
    <w:rsid w:val="001B43E2"/>
    <w:rsid w:val="001C4862"/>
    <w:rsid w:val="001C5BE0"/>
    <w:rsid w:val="001E1039"/>
    <w:rsid w:val="001E369B"/>
    <w:rsid w:val="001E5D87"/>
    <w:rsid w:val="001F6D62"/>
    <w:rsid w:val="001F716C"/>
    <w:rsid w:val="00201954"/>
    <w:rsid w:val="00203F5A"/>
    <w:rsid w:val="00207560"/>
    <w:rsid w:val="00212308"/>
    <w:rsid w:val="00221C2E"/>
    <w:rsid w:val="00225A64"/>
    <w:rsid w:val="0023079E"/>
    <w:rsid w:val="00235BA2"/>
    <w:rsid w:val="002371CF"/>
    <w:rsid w:val="002429C0"/>
    <w:rsid w:val="00246AF2"/>
    <w:rsid w:val="002527CB"/>
    <w:rsid w:val="00257013"/>
    <w:rsid w:val="00257114"/>
    <w:rsid w:val="00257F1C"/>
    <w:rsid w:val="00262217"/>
    <w:rsid w:val="002629E6"/>
    <w:rsid w:val="00266BE3"/>
    <w:rsid w:val="0028377B"/>
    <w:rsid w:val="00285DF6"/>
    <w:rsid w:val="002956B1"/>
    <w:rsid w:val="002B57C3"/>
    <w:rsid w:val="002B69BC"/>
    <w:rsid w:val="002C7C01"/>
    <w:rsid w:val="002D2054"/>
    <w:rsid w:val="002D2E6E"/>
    <w:rsid w:val="002D3C93"/>
    <w:rsid w:val="002E1DE9"/>
    <w:rsid w:val="00301B3C"/>
    <w:rsid w:val="00305A3B"/>
    <w:rsid w:val="00307B0A"/>
    <w:rsid w:val="00311F7D"/>
    <w:rsid w:val="00321361"/>
    <w:rsid w:val="00325582"/>
    <w:rsid w:val="003265AB"/>
    <w:rsid w:val="00326F59"/>
    <w:rsid w:val="003308A3"/>
    <w:rsid w:val="00354DC8"/>
    <w:rsid w:val="00356A2C"/>
    <w:rsid w:val="0035733E"/>
    <w:rsid w:val="00362A1D"/>
    <w:rsid w:val="00363EAD"/>
    <w:rsid w:val="003657DB"/>
    <w:rsid w:val="00371D3D"/>
    <w:rsid w:val="00392AFF"/>
    <w:rsid w:val="003A47A5"/>
    <w:rsid w:val="003A4B44"/>
    <w:rsid w:val="003A4DA8"/>
    <w:rsid w:val="003A64A8"/>
    <w:rsid w:val="003B24C1"/>
    <w:rsid w:val="003B2C95"/>
    <w:rsid w:val="003B5B23"/>
    <w:rsid w:val="003B6E14"/>
    <w:rsid w:val="003C4368"/>
    <w:rsid w:val="003C5547"/>
    <w:rsid w:val="003C67A3"/>
    <w:rsid w:val="003C77BC"/>
    <w:rsid w:val="003D3455"/>
    <w:rsid w:val="003D56DB"/>
    <w:rsid w:val="003E19AC"/>
    <w:rsid w:val="003E29D7"/>
    <w:rsid w:val="003E6654"/>
    <w:rsid w:val="004016A9"/>
    <w:rsid w:val="00402BA1"/>
    <w:rsid w:val="00407E75"/>
    <w:rsid w:val="00411F7F"/>
    <w:rsid w:val="0041408B"/>
    <w:rsid w:val="00425475"/>
    <w:rsid w:val="00430295"/>
    <w:rsid w:val="00434694"/>
    <w:rsid w:val="00434CB4"/>
    <w:rsid w:val="00440F34"/>
    <w:rsid w:val="00441A3C"/>
    <w:rsid w:val="00441C40"/>
    <w:rsid w:val="004529DC"/>
    <w:rsid w:val="00466DA0"/>
    <w:rsid w:val="00476277"/>
    <w:rsid w:val="0047656F"/>
    <w:rsid w:val="00477E35"/>
    <w:rsid w:val="00477FC7"/>
    <w:rsid w:val="00480769"/>
    <w:rsid w:val="0048154D"/>
    <w:rsid w:val="004921B9"/>
    <w:rsid w:val="0049415F"/>
    <w:rsid w:val="004954CD"/>
    <w:rsid w:val="004A48B9"/>
    <w:rsid w:val="004B5376"/>
    <w:rsid w:val="004B5C3F"/>
    <w:rsid w:val="004C1396"/>
    <w:rsid w:val="004C1535"/>
    <w:rsid w:val="004C1F08"/>
    <w:rsid w:val="004D1811"/>
    <w:rsid w:val="004D24AB"/>
    <w:rsid w:val="004D376C"/>
    <w:rsid w:val="004D4A69"/>
    <w:rsid w:val="004F13C0"/>
    <w:rsid w:val="004F56E7"/>
    <w:rsid w:val="004F733C"/>
    <w:rsid w:val="00506AF5"/>
    <w:rsid w:val="00510DAD"/>
    <w:rsid w:val="00513D69"/>
    <w:rsid w:val="00513E91"/>
    <w:rsid w:val="0051467A"/>
    <w:rsid w:val="00517F35"/>
    <w:rsid w:val="005212E1"/>
    <w:rsid w:val="00521854"/>
    <w:rsid w:val="00524584"/>
    <w:rsid w:val="00532EF5"/>
    <w:rsid w:val="00534952"/>
    <w:rsid w:val="0055209F"/>
    <w:rsid w:val="005542DE"/>
    <w:rsid w:val="005604E8"/>
    <w:rsid w:val="00562FD3"/>
    <w:rsid w:val="005631BA"/>
    <w:rsid w:val="0056381C"/>
    <w:rsid w:val="00566F2B"/>
    <w:rsid w:val="00577BED"/>
    <w:rsid w:val="00581EAF"/>
    <w:rsid w:val="00581F01"/>
    <w:rsid w:val="0058206C"/>
    <w:rsid w:val="005868ED"/>
    <w:rsid w:val="00591DEF"/>
    <w:rsid w:val="00592C45"/>
    <w:rsid w:val="005C1FA7"/>
    <w:rsid w:val="005C210D"/>
    <w:rsid w:val="005C7E7B"/>
    <w:rsid w:val="005D46D7"/>
    <w:rsid w:val="005E1DC6"/>
    <w:rsid w:val="005E77F4"/>
    <w:rsid w:val="005F295B"/>
    <w:rsid w:val="005F31A6"/>
    <w:rsid w:val="005F5151"/>
    <w:rsid w:val="006076B0"/>
    <w:rsid w:val="00612814"/>
    <w:rsid w:val="00614FF0"/>
    <w:rsid w:val="0062003E"/>
    <w:rsid w:val="00620EB5"/>
    <w:rsid w:val="006224D0"/>
    <w:rsid w:val="006249E0"/>
    <w:rsid w:val="00624BB4"/>
    <w:rsid w:val="00632F97"/>
    <w:rsid w:val="006350D8"/>
    <w:rsid w:val="006357BE"/>
    <w:rsid w:val="00647EB4"/>
    <w:rsid w:val="00656790"/>
    <w:rsid w:val="00661A8B"/>
    <w:rsid w:val="006654AD"/>
    <w:rsid w:val="00672BDB"/>
    <w:rsid w:val="00681B36"/>
    <w:rsid w:val="00681F6A"/>
    <w:rsid w:val="00682586"/>
    <w:rsid w:val="00682BC9"/>
    <w:rsid w:val="006845EE"/>
    <w:rsid w:val="006945FA"/>
    <w:rsid w:val="006A2DCC"/>
    <w:rsid w:val="006A45BC"/>
    <w:rsid w:val="006A474B"/>
    <w:rsid w:val="006B02BF"/>
    <w:rsid w:val="006B332A"/>
    <w:rsid w:val="006B6E80"/>
    <w:rsid w:val="006B7D35"/>
    <w:rsid w:val="006D2433"/>
    <w:rsid w:val="006D2471"/>
    <w:rsid w:val="006D3715"/>
    <w:rsid w:val="006E0568"/>
    <w:rsid w:val="006E51B5"/>
    <w:rsid w:val="006F34AD"/>
    <w:rsid w:val="006F46F1"/>
    <w:rsid w:val="00706A1F"/>
    <w:rsid w:val="00714E0D"/>
    <w:rsid w:val="007250A7"/>
    <w:rsid w:val="00737DC7"/>
    <w:rsid w:val="007406FD"/>
    <w:rsid w:val="00742D98"/>
    <w:rsid w:val="00746AC2"/>
    <w:rsid w:val="00755D71"/>
    <w:rsid w:val="00764A58"/>
    <w:rsid w:val="00776061"/>
    <w:rsid w:val="007835D9"/>
    <w:rsid w:val="0079203F"/>
    <w:rsid w:val="00793B4F"/>
    <w:rsid w:val="007952B1"/>
    <w:rsid w:val="00796259"/>
    <w:rsid w:val="007A2CA0"/>
    <w:rsid w:val="007A6095"/>
    <w:rsid w:val="007B23FD"/>
    <w:rsid w:val="007B3CB7"/>
    <w:rsid w:val="007B6C33"/>
    <w:rsid w:val="007C46CA"/>
    <w:rsid w:val="007C574A"/>
    <w:rsid w:val="007C7530"/>
    <w:rsid w:val="007C7D25"/>
    <w:rsid w:val="007D49A2"/>
    <w:rsid w:val="007D4DA7"/>
    <w:rsid w:val="007D56FB"/>
    <w:rsid w:val="007D5D5F"/>
    <w:rsid w:val="007E4A77"/>
    <w:rsid w:val="007E50D9"/>
    <w:rsid w:val="007F10B5"/>
    <w:rsid w:val="008036A5"/>
    <w:rsid w:val="00805FDB"/>
    <w:rsid w:val="0080766F"/>
    <w:rsid w:val="008203E0"/>
    <w:rsid w:val="00826D13"/>
    <w:rsid w:val="008303E7"/>
    <w:rsid w:val="0083110F"/>
    <w:rsid w:val="008353CF"/>
    <w:rsid w:val="008511C4"/>
    <w:rsid w:val="00851357"/>
    <w:rsid w:val="00855C63"/>
    <w:rsid w:val="008608DA"/>
    <w:rsid w:val="008701C7"/>
    <w:rsid w:val="00872546"/>
    <w:rsid w:val="00873BD2"/>
    <w:rsid w:val="00881486"/>
    <w:rsid w:val="00890CDF"/>
    <w:rsid w:val="00892470"/>
    <w:rsid w:val="008A26CE"/>
    <w:rsid w:val="008A4146"/>
    <w:rsid w:val="008B4750"/>
    <w:rsid w:val="008B5B91"/>
    <w:rsid w:val="008B743F"/>
    <w:rsid w:val="008C07A0"/>
    <w:rsid w:val="008C0967"/>
    <w:rsid w:val="008C336D"/>
    <w:rsid w:val="008C6614"/>
    <w:rsid w:val="008D5104"/>
    <w:rsid w:val="008D675D"/>
    <w:rsid w:val="008D6875"/>
    <w:rsid w:val="008E2757"/>
    <w:rsid w:val="008F242F"/>
    <w:rsid w:val="008F2EE7"/>
    <w:rsid w:val="008F39EF"/>
    <w:rsid w:val="008F6819"/>
    <w:rsid w:val="008F6E7F"/>
    <w:rsid w:val="00902620"/>
    <w:rsid w:val="00913B60"/>
    <w:rsid w:val="00914A09"/>
    <w:rsid w:val="009200CA"/>
    <w:rsid w:val="00925A87"/>
    <w:rsid w:val="00927BB1"/>
    <w:rsid w:val="00927F37"/>
    <w:rsid w:val="00936044"/>
    <w:rsid w:val="00952461"/>
    <w:rsid w:val="00952A6A"/>
    <w:rsid w:val="00957ABD"/>
    <w:rsid w:val="0096139E"/>
    <w:rsid w:val="00971E63"/>
    <w:rsid w:val="00982F39"/>
    <w:rsid w:val="00993C42"/>
    <w:rsid w:val="009944F8"/>
    <w:rsid w:val="009A06AE"/>
    <w:rsid w:val="009B2A98"/>
    <w:rsid w:val="009C0A59"/>
    <w:rsid w:val="009C4F80"/>
    <w:rsid w:val="009C50C6"/>
    <w:rsid w:val="009D1DA9"/>
    <w:rsid w:val="009E0114"/>
    <w:rsid w:val="009E20D6"/>
    <w:rsid w:val="009E2FEC"/>
    <w:rsid w:val="009E3BB6"/>
    <w:rsid w:val="009E4608"/>
    <w:rsid w:val="009F5075"/>
    <w:rsid w:val="00A017F5"/>
    <w:rsid w:val="00A06CEB"/>
    <w:rsid w:val="00A1302A"/>
    <w:rsid w:val="00A13617"/>
    <w:rsid w:val="00A2086E"/>
    <w:rsid w:val="00A2703A"/>
    <w:rsid w:val="00A33DF0"/>
    <w:rsid w:val="00A33F3D"/>
    <w:rsid w:val="00A46542"/>
    <w:rsid w:val="00A471DB"/>
    <w:rsid w:val="00A478EA"/>
    <w:rsid w:val="00A50789"/>
    <w:rsid w:val="00A55987"/>
    <w:rsid w:val="00A60678"/>
    <w:rsid w:val="00A65B18"/>
    <w:rsid w:val="00A65EDF"/>
    <w:rsid w:val="00A678CF"/>
    <w:rsid w:val="00A751EB"/>
    <w:rsid w:val="00A824CF"/>
    <w:rsid w:val="00A83869"/>
    <w:rsid w:val="00A86D35"/>
    <w:rsid w:val="00A87FEC"/>
    <w:rsid w:val="00A9115F"/>
    <w:rsid w:val="00A926E6"/>
    <w:rsid w:val="00A93F63"/>
    <w:rsid w:val="00A950F4"/>
    <w:rsid w:val="00AA1F7F"/>
    <w:rsid w:val="00AA2665"/>
    <w:rsid w:val="00AA3986"/>
    <w:rsid w:val="00AB233F"/>
    <w:rsid w:val="00AB267D"/>
    <w:rsid w:val="00AC0916"/>
    <w:rsid w:val="00AC6E05"/>
    <w:rsid w:val="00AE2FDB"/>
    <w:rsid w:val="00AE3EE7"/>
    <w:rsid w:val="00AE757E"/>
    <w:rsid w:val="00AF1DF8"/>
    <w:rsid w:val="00AF443A"/>
    <w:rsid w:val="00AF65FC"/>
    <w:rsid w:val="00B04B5D"/>
    <w:rsid w:val="00B071EE"/>
    <w:rsid w:val="00B10FCF"/>
    <w:rsid w:val="00B1339C"/>
    <w:rsid w:val="00B16EBD"/>
    <w:rsid w:val="00B43073"/>
    <w:rsid w:val="00B43B4B"/>
    <w:rsid w:val="00B47724"/>
    <w:rsid w:val="00B5343A"/>
    <w:rsid w:val="00B5439E"/>
    <w:rsid w:val="00B60308"/>
    <w:rsid w:val="00B60408"/>
    <w:rsid w:val="00B61BB9"/>
    <w:rsid w:val="00B6570B"/>
    <w:rsid w:val="00B6678B"/>
    <w:rsid w:val="00B67174"/>
    <w:rsid w:val="00B762CF"/>
    <w:rsid w:val="00B94D31"/>
    <w:rsid w:val="00B961C7"/>
    <w:rsid w:val="00BA02E5"/>
    <w:rsid w:val="00BB21BB"/>
    <w:rsid w:val="00BB77BB"/>
    <w:rsid w:val="00BC4544"/>
    <w:rsid w:val="00BC4633"/>
    <w:rsid w:val="00BC47C6"/>
    <w:rsid w:val="00BC672C"/>
    <w:rsid w:val="00BD21B3"/>
    <w:rsid w:val="00BD2737"/>
    <w:rsid w:val="00BD4F47"/>
    <w:rsid w:val="00BE0755"/>
    <w:rsid w:val="00BE29A4"/>
    <w:rsid w:val="00BF098D"/>
    <w:rsid w:val="00BF4099"/>
    <w:rsid w:val="00BF5FA9"/>
    <w:rsid w:val="00BF64D9"/>
    <w:rsid w:val="00C02433"/>
    <w:rsid w:val="00C05D3F"/>
    <w:rsid w:val="00C26B6C"/>
    <w:rsid w:val="00C27E6D"/>
    <w:rsid w:val="00C32979"/>
    <w:rsid w:val="00C336CC"/>
    <w:rsid w:val="00C33812"/>
    <w:rsid w:val="00C33E7A"/>
    <w:rsid w:val="00C40273"/>
    <w:rsid w:val="00C52492"/>
    <w:rsid w:val="00C57B52"/>
    <w:rsid w:val="00C6370D"/>
    <w:rsid w:val="00C6499B"/>
    <w:rsid w:val="00C75C84"/>
    <w:rsid w:val="00C75F42"/>
    <w:rsid w:val="00C83756"/>
    <w:rsid w:val="00C91AE5"/>
    <w:rsid w:val="00C959D6"/>
    <w:rsid w:val="00C95FA6"/>
    <w:rsid w:val="00C96F73"/>
    <w:rsid w:val="00CA4B26"/>
    <w:rsid w:val="00CB46DB"/>
    <w:rsid w:val="00CC2BA7"/>
    <w:rsid w:val="00CC2F05"/>
    <w:rsid w:val="00CC5FB5"/>
    <w:rsid w:val="00CC6DB6"/>
    <w:rsid w:val="00CD0118"/>
    <w:rsid w:val="00CD294A"/>
    <w:rsid w:val="00CD3E2E"/>
    <w:rsid w:val="00CD44A0"/>
    <w:rsid w:val="00CD5EBC"/>
    <w:rsid w:val="00CE165D"/>
    <w:rsid w:val="00CE2580"/>
    <w:rsid w:val="00CF4169"/>
    <w:rsid w:val="00CF726F"/>
    <w:rsid w:val="00CF7828"/>
    <w:rsid w:val="00D07AA6"/>
    <w:rsid w:val="00D16538"/>
    <w:rsid w:val="00D173D9"/>
    <w:rsid w:val="00D20C3F"/>
    <w:rsid w:val="00D2232C"/>
    <w:rsid w:val="00D25DB5"/>
    <w:rsid w:val="00D27158"/>
    <w:rsid w:val="00D278EA"/>
    <w:rsid w:val="00D335FD"/>
    <w:rsid w:val="00D35F1A"/>
    <w:rsid w:val="00D370B6"/>
    <w:rsid w:val="00D42212"/>
    <w:rsid w:val="00D42C60"/>
    <w:rsid w:val="00D43B8A"/>
    <w:rsid w:val="00D524EA"/>
    <w:rsid w:val="00D5588D"/>
    <w:rsid w:val="00D55D16"/>
    <w:rsid w:val="00D609FB"/>
    <w:rsid w:val="00D63EF3"/>
    <w:rsid w:val="00D71A83"/>
    <w:rsid w:val="00D71E17"/>
    <w:rsid w:val="00D84083"/>
    <w:rsid w:val="00D875F5"/>
    <w:rsid w:val="00D910F9"/>
    <w:rsid w:val="00DA16A4"/>
    <w:rsid w:val="00DA2567"/>
    <w:rsid w:val="00DB27C5"/>
    <w:rsid w:val="00DB300F"/>
    <w:rsid w:val="00DC0185"/>
    <w:rsid w:val="00DC2A3F"/>
    <w:rsid w:val="00DC41F5"/>
    <w:rsid w:val="00DC5457"/>
    <w:rsid w:val="00DC7376"/>
    <w:rsid w:val="00DD1D6D"/>
    <w:rsid w:val="00DD1EC6"/>
    <w:rsid w:val="00DD64D9"/>
    <w:rsid w:val="00DE6EA3"/>
    <w:rsid w:val="00DF17D1"/>
    <w:rsid w:val="00E00088"/>
    <w:rsid w:val="00E02180"/>
    <w:rsid w:val="00E30A69"/>
    <w:rsid w:val="00E41B34"/>
    <w:rsid w:val="00E46F4C"/>
    <w:rsid w:val="00E52A3D"/>
    <w:rsid w:val="00E7091A"/>
    <w:rsid w:val="00E72391"/>
    <w:rsid w:val="00E7299C"/>
    <w:rsid w:val="00E7367F"/>
    <w:rsid w:val="00E73792"/>
    <w:rsid w:val="00E756A0"/>
    <w:rsid w:val="00E84C46"/>
    <w:rsid w:val="00E86EF6"/>
    <w:rsid w:val="00EA019B"/>
    <w:rsid w:val="00EB4CBE"/>
    <w:rsid w:val="00EC085D"/>
    <w:rsid w:val="00ED47FD"/>
    <w:rsid w:val="00EE4701"/>
    <w:rsid w:val="00EE5AC1"/>
    <w:rsid w:val="00EE756E"/>
    <w:rsid w:val="00EE7684"/>
    <w:rsid w:val="00EE7A9A"/>
    <w:rsid w:val="00EF03A3"/>
    <w:rsid w:val="00EF23ED"/>
    <w:rsid w:val="00EF27BA"/>
    <w:rsid w:val="00EF3849"/>
    <w:rsid w:val="00EF515A"/>
    <w:rsid w:val="00EF70F7"/>
    <w:rsid w:val="00F03A61"/>
    <w:rsid w:val="00F13F49"/>
    <w:rsid w:val="00F205CD"/>
    <w:rsid w:val="00F20F29"/>
    <w:rsid w:val="00F21740"/>
    <w:rsid w:val="00F2437F"/>
    <w:rsid w:val="00F36562"/>
    <w:rsid w:val="00F37092"/>
    <w:rsid w:val="00F45C20"/>
    <w:rsid w:val="00F46535"/>
    <w:rsid w:val="00F500D2"/>
    <w:rsid w:val="00F5440F"/>
    <w:rsid w:val="00F54AB2"/>
    <w:rsid w:val="00F6663A"/>
    <w:rsid w:val="00F84793"/>
    <w:rsid w:val="00F852CB"/>
    <w:rsid w:val="00F8798B"/>
    <w:rsid w:val="00F9686E"/>
    <w:rsid w:val="00FB3632"/>
    <w:rsid w:val="00FB6097"/>
    <w:rsid w:val="00FC2CBA"/>
    <w:rsid w:val="00FC49BF"/>
    <w:rsid w:val="00FD25E7"/>
    <w:rsid w:val="00FE3B6F"/>
    <w:rsid w:val="00FE6514"/>
    <w:rsid w:val="00FF307D"/>
    <w:rsid w:val="00FF50CE"/>
    <w:rsid w:val="00FF5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60EF1"/>
  <w15:chartTrackingRefBased/>
  <w15:docId w15:val="{ED343A72-DB99-4BA5-BD25-7FC7F28A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7"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6A45BC"/>
    <w:pPr>
      <w:spacing w:before="80" w:after="120" w:line="240" w:lineRule="auto"/>
    </w:pPr>
    <w:rPr>
      <w:rFonts w:ascii="Arial" w:hAnsi="Arial"/>
      <w:sz w:val="24"/>
      <w:szCs w:val="20"/>
    </w:rPr>
  </w:style>
  <w:style w:type="paragraph" w:styleId="Heading1">
    <w:name w:val="heading 1"/>
    <w:next w:val="Bodytextnormal"/>
    <w:link w:val="Heading1Char"/>
    <w:uiPriority w:val="19"/>
    <w:qFormat/>
    <w:rsid w:val="005F31A6"/>
    <w:pPr>
      <w:keepNext/>
      <w:keepLines/>
      <w:pageBreakBefore/>
      <w:numPr>
        <w:numId w:val="32"/>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22"/>
    <w:qFormat/>
    <w:rsid w:val="000829BB"/>
    <w:pPr>
      <w:keepNext/>
      <w:keepLines/>
      <w:numPr>
        <w:ilvl w:val="1"/>
        <w:numId w:val="32"/>
      </w:numPr>
      <w:tabs>
        <w:tab w:val="right" w:pos="567"/>
      </w:tabs>
      <w:spacing w:before="480"/>
      <w:outlineLvl w:val="1"/>
    </w:pPr>
    <w:rPr>
      <w:rFonts w:eastAsiaTheme="majorEastAsia" w:cstheme="majorBidi"/>
      <w:szCs w:val="26"/>
    </w:rPr>
  </w:style>
  <w:style w:type="paragraph" w:styleId="Heading3">
    <w:name w:val="heading 3"/>
    <w:next w:val="Bodytextnormal"/>
    <w:link w:val="Heading3Char"/>
    <w:uiPriority w:val="24"/>
    <w:qFormat/>
    <w:rsid w:val="006E0568"/>
    <w:pPr>
      <w:keepNext/>
      <w:keepLines/>
      <w:numPr>
        <w:ilvl w:val="2"/>
        <w:numId w:val="32"/>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25"/>
    <w:qFormat/>
    <w:rsid w:val="00E73792"/>
    <w:pPr>
      <w:keepNext/>
      <w:keepLines/>
      <w:spacing w:before="6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26"/>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27"/>
    <w:qFormat/>
    <w:rsid w:val="000C25CC"/>
    <w:pPr>
      <w:keepNext/>
      <w:keepLines/>
      <w:spacing w:before="60" w:after="60" w:line="240" w:lineRule="auto"/>
      <w:outlineLvl w:val="5"/>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22"/>
    <w:rsid w:val="00EE4701"/>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24"/>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25"/>
    <w:rsid w:val="00EE4701"/>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4D4A69"/>
    <w:pPr>
      <w:numPr>
        <w:ilvl w:val="1"/>
      </w:numPr>
    </w:pPr>
  </w:style>
  <w:style w:type="paragraph" w:customStyle="1" w:styleId="Bulletpoint1">
    <w:name w:val="Bullet point 1"/>
    <w:basedOn w:val="Bodytextnormal"/>
    <w:uiPriority w:val="1"/>
    <w:qFormat/>
    <w:rsid w:val="00305A3B"/>
    <w:pPr>
      <w:numPr>
        <w:numId w:val="3"/>
      </w:numPr>
      <w:spacing w:before="0"/>
      <w:ind w:left="340" w:hanging="340"/>
    </w:pPr>
  </w:style>
  <w:style w:type="paragraph" w:customStyle="1" w:styleId="Bulletpoint2">
    <w:name w:val="Bullet point 2"/>
    <w:basedOn w:val="Bulletpoint1"/>
    <w:uiPriority w:val="2"/>
    <w:qFormat/>
    <w:rsid w:val="00407E75"/>
    <w:pPr>
      <w:numPr>
        <w:numId w:val="18"/>
      </w:numPr>
      <w:ind w:left="908" w:hanging="454"/>
    </w:pPr>
  </w:style>
  <w:style w:type="paragraph" w:customStyle="1" w:styleId="Numberedlist1">
    <w:name w:val="Numbered list 1"/>
    <w:basedOn w:val="Bulletpoint1"/>
    <w:uiPriority w:val="3"/>
    <w:qFormat/>
    <w:rsid w:val="00EE5AC1"/>
    <w:pPr>
      <w:numPr>
        <w:numId w:val="4"/>
      </w:numPr>
      <w:spacing w:before="60"/>
      <w:ind w:left="454" w:hanging="454"/>
    </w:pPr>
  </w:style>
  <w:style w:type="paragraph" w:styleId="Quote">
    <w:name w:val="Quote"/>
    <w:basedOn w:val="Bodytextnormal"/>
    <w:next w:val="Bodytextnormal"/>
    <w:link w:val="QuoteChar"/>
    <w:uiPriority w:val="13"/>
    <w:qFormat/>
    <w:rsid w:val="00506AF5"/>
    <w:pPr>
      <w:ind w:left="340" w:right="340"/>
    </w:pPr>
    <w:rPr>
      <w:iCs/>
      <w:color w:val="071C53" w:themeColor="accent1"/>
    </w:rPr>
  </w:style>
  <w:style w:type="character" w:customStyle="1" w:styleId="QuoteChar">
    <w:name w:val="Quote Char"/>
    <w:basedOn w:val="DefaultParagraphFont"/>
    <w:link w:val="Quote"/>
    <w:uiPriority w:val="13"/>
    <w:rsid w:val="00EE4701"/>
    <w:rPr>
      <w:rFonts w:ascii="Arial" w:hAnsi="Arial"/>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32"/>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23"/>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23"/>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407E75"/>
    <w:pPr>
      <w:numPr>
        <w:numId w:val="20"/>
      </w:numPr>
      <w:ind w:left="340" w:hanging="340"/>
    </w:pPr>
  </w:style>
  <w:style w:type="paragraph" w:customStyle="1" w:styleId="Tablebulletpoint2">
    <w:name w:val="Table bullet point 2"/>
    <w:basedOn w:val="Tablebulletpoint1"/>
    <w:uiPriority w:val="34"/>
    <w:qFormat/>
    <w:rsid w:val="00407E75"/>
    <w:pPr>
      <w:numPr>
        <w:numId w:val="19"/>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32"/>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32"/>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32"/>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5604E8"/>
    <w:pPr>
      <w:spacing w:after="240"/>
    </w:pPr>
    <w:rPr>
      <w:sz w:val="36"/>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locked/>
    <w:rsid w:val="00D55D16"/>
    <w:rPr>
      <w:color w:val="B22304" w:themeColor="accent2"/>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nonumber"/>
    <w:uiPriority w:val="49"/>
    <w:qFormat/>
    <w:rsid w:val="00C57B52"/>
  </w:style>
  <w:style w:type="paragraph" w:customStyle="1" w:styleId="Recommendationsnumbered">
    <w:name w:val="Recommendations numbered"/>
    <w:basedOn w:val="Bodytextnormal"/>
    <w:uiPriority w:val="50"/>
    <w:qFormat/>
    <w:rsid w:val="00C57B52"/>
    <w:pPr>
      <w:numPr>
        <w:ilvl w:val="7"/>
        <w:numId w:val="32"/>
      </w:numPr>
    </w:pPr>
  </w:style>
  <w:style w:type="paragraph" w:customStyle="1" w:styleId="Tablenumberedlist1">
    <w:name w:val="Table numbered list 1"/>
    <w:basedOn w:val="Tablebulletpoint1"/>
    <w:uiPriority w:val="35"/>
    <w:qFormat/>
    <w:rsid w:val="002E1DE9"/>
    <w:pPr>
      <w:numPr>
        <w:numId w:val="8"/>
      </w:numPr>
    </w:pPr>
  </w:style>
  <w:style w:type="paragraph" w:customStyle="1" w:styleId="Tablenumberedlist2">
    <w:name w:val="Table numbered list 2"/>
    <w:basedOn w:val="Tablenumberedlist1"/>
    <w:uiPriority w:val="36"/>
    <w:qFormat/>
    <w:rsid w:val="00925A87"/>
    <w:pPr>
      <w:numPr>
        <w:ilvl w:val="1"/>
      </w:numPr>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28"/>
      </w:numPr>
      <w:ind w:left="680" w:hanging="340"/>
    </w:pPr>
  </w:style>
  <w:style w:type="paragraph" w:styleId="FootnoteText">
    <w:name w:val="footnote text"/>
    <w:basedOn w:val="Normal"/>
    <w:link w:val="FootnoteTextChar"/>
    <w:uiPriority w:val="99"/>
    <w:rsid w:val="002B69BC"/>
    <w:pPr>
      <w:spacing w:before="0" w:after="0"/>
    </w:pPr>
    <w:rPr>
      <w:sz w:val="20"/>
    </w:rPr>
  </w:style>
  <w:style w:type="character" w:customStyle="1" w:styleId="FootnoteTextChar">
    <w:name w:val="Footnote Text Char"/>
    <w:basedOn w:val="DefaultParagraphFont"/>
    <w:link w:val="FootnoteText"/>
    <w:uiPriority w:val="99"/>
    <w:rsid w:val="00441C40"/>
    <w:rPr>
      <w:rFonts w:ascii="Arial" w:hAnsi="Arial"/>
      <w:sz w:val="20"/>
      <w:szCs w:val="20"/>
    </w:rPr>
  </w:style>
  <w:style w:type="character" w:styleId="FootnoteReference">
    <w:name w:val="footnote reference"/>
    <w:basedOn w:val="DefaultParagraphFont"/>
    <w:uiPriority w:val="99"/>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uiPriority w:val="99"/>
    <w:rsid w:val="002B69BC"/>
    <w:pPr>
      <w:spacing w:before="0" w:after="0"/>
    </w:pPr>
    <w:rPr>
      <w:sz w:val="20"/>
    </w:rPr>
  </w:style>
  <w:style w:type="character" w:customStyle="1" w:styleId="EndnoteTextChar">
    <w:name w:val="Endnote Text Char"/>
    <w:basedOn w:val="DefaultParagraphFont"/>
    <w:link w:val="EndnoteText"/>
    <w:uiPriority w:val="99"/>
    <w:rsid w:val="00441C40"/>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quiries@veohr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VicGov\VEOHRC-Strategic%20Communications%20-%20Admin%20and%20Management\Branding%20guidelines,%20logos,%20templates\VEOHRC%20Templates%20-%20master%20set\In%20development\VEOHRC%20new%20report%20template%202021%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2" ma:contentTypeDescription="Standard document for use in the VEOHRC EDRMS" ma:contentTypeScope="" ma:versionID="8521a17263fde781955a8cc8414a8255">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e4564e87ebfd3242fde410213709392b"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7B5AB-68F4-49E7-8473-2FB35858EC52}">
  <ds:schemaRefs>
    <ds:schemaRef ds:uri="http://schemas.microsoft.com/sharepoint/v3/contenttype/forms"/>
  </ds:schemaRefs>
</ds:datastoreItem>
</file>

<file path=customXml/itemProps2.xml><?xml version="1.0" encoding="utf-8"?>
<ds:datastoreItem xmlns:ds="http://schemas.openxmlformats.org/officeDocument/2006/customXml" ds:itemID="{F8522837-20D3-473E-B313-4EE441ED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customXml/itemProps4.xml><?xml version="1.0" encoding="utf-8"?>
<ds:datastoreItem xmlns:ds="http://schemas.openxmlformats.org/officeDocument/2006/customXml" ds:itemID="{FD1CE3E3-79A0-4AC9-946F-2E099292688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64daab-285f-489b-92f3-c9bf826e1074"/>
    <ds:schemaRef ds:uri="http://purl.org/dc/elements/1.1/"/>
    <ds:schemaRef ds:uri="dec3382a-d142-4938-b9af-ac03346415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VEOHRC new report template 2021 v1.2.dotx</Template>
  <TotalTime>33</TotalTime>
  <Pages>8</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&lt; report title &gt;</vt:lpstr>
    </vt:vector>
  </TitlesOfParts>
  <Company>VAGO</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report title &gt;</dc:title>
  <dc:subject/>
  <dc:creator>Peter D Davies (DJCS)</dc:creator>
  <cp:keywords/>
  <dc:description/>
  <cp:lastModifiedBy>Peter D Davies (DJCS)</cp:lastModifiedBy>
  <cp:revision>63</cp:revision>
  <cp:lastPrinted>2018-02-13T05:28:00Z</cp:lastPrinted>
  <dcterms:created xsi:type="dcterms:W3CDTF">2021-08-24T06:18:00Z</dcterms:created>
  <dcterms:modified xsi:type="dcterms:W3CDTF">2021-08-24T08:46:00Z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ies>
</file>